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1936F69" w14:textId="77777777" w:rsidR="008722AE" w:rsidRDefault="008722AE"/>
    <w:p w14:paraId="1025D0C9" w14:textId="3AFA57DB" w:rsidR="008722AE" w:rsidRDefault="00396FCB">
      <w:r>
        <w:t xml:space="preserve">This </w:t>
      </w:r>
      <w:r>
        <w:rPr>
          <w:b/>
        </w:rPr>
        <w:t xml:space="preserve">Mutual Non-Disclosure Agreement </w:t>
      </w:r>
      <w:r>
        <w:t xml:space="preserve">(“MNDA”) is made and entered into force as of </w:t>
      </w:r>
      <w:r w:rsidR="00C546A0">
        <w:rPr>
          <w:b/>
        </w:rPr>
        <w:t xml:space="preserve">XX </w:t>
      </w:r>
      <w:proofErr w:type="spellStart"/>
      <w:r w:rsidR="00C546A0">
        <w:rPr>
          <w:b/>
        </w:rPr>
        <w:t>XX</w:t>
      </w:r>
      <w:proofErr w:type="spellEnd"/>
      <w:r w:rsidR="00C546A0">
        <w:rPr>
          <w:b/>
        </w:rPr>
        <w:t xml:space="preserve"> XXXX</w:t>
      </w:r>
      <w:r>
        <w:t xml:space="preserve"> (the “</w:t>
      </w:r>
      <w:r>
        <w:rPr>
          <w:b/>
        </w:rPr>
        <w:t>Effective Date</w:t>
      </w:r>
      <w:r>
        <w:t>”) by and between</w:t>
      </w:r>
    </w:p>
    <w:p w14:paraId="15C766FF" w14:textId="77777777" w:rsidR="008722AE" w:rsidRDefault="008722AE"/>
    <w:p w14:paraId="1DC6F78E" w14:textId="77777777" w:rsidR="008722AE" w:rsidRDefault="00396FCB">
      <w:r>
        <w:rPr>
          <w:b/>
          <w:color w:val="404040"/>
        </w:rPr>
        <w:t>MENU Technologies AG</w:t>
      </w:r>
      <w:r>
        <w:rPr>
          <w:color w:val="404040"/>
        </w:rPr>
        <w:t>, on its behalf and on behalf of its affiliates, and direct and indirect subsidiaries</w:t>
      </w:r>
      <w:r>
        <w:rPr>
          <w:b/>
          <w:i/>
          <w:color w:val="404040"/>
        </w:rPr>
        <w:t xml:space="preserve"> </w:t>
      </w:r>
      <w:r>
        <w:rPr>
          <w:color w:val="404040"/>
        </w:rPr>
        <w:t>(</w:t>
      </w:r>
      <w:r>
        <w:t>herein referred to as: “</w:t>
      </w:r>
      <w:r>
        <w:rPr>
          <w:b/>
        </w:rPr>
        <w:t>MENU</w:t>
      </w:r>
      <w:r>
        <w:t>”)</w:t>
      </w:r>
    </w:p>
    <w:tbl>
      <w:tblPr>
        <w:tblStyle w:val="ae"/>
        <w:tblW w:w="6554" w:type="dxa"/>
        <w:tblInd w:w="1384" w:type="dxa"/>
        <w:tblBorders>
          <w:top w:val="nil"/>
          <w:left w:val="nil"/>
          <w:bottom w:val="nil"/>
          <w:right w:val="nil"/>
          <w:insideH w:val="nil"/>
          <w:insideV w:val="nil"/>
        </w:tblBorders>
        <w:tblLayout w:type="fixed"/>
        <w:tblLook w:val="0400" w:firstRow="0" w:lastRow="0" w:firstColumn="0" w:lastColumn="0" w:noHBand="0" w:noVBand="1"/>
      </w:tblPr>
      <w:tblGrid>
        <w:gridCol w:w="2018"/>
        <w:gridCol w:w="4536"/>
      </w:tblGrid>
      <w:tr w:rsidR="008722AE" w14:paraId="259F3300" w14:textId="77777777">
        <w:tc>
          <w:tcPr>
            <w:tcW w:w="2018" w:type="dxa"/>
          </w:tcPr>
          <w:p w14:paraId="7513B32D" w14:textId="77777777" w:rsidR="008722AE" w:rsidRDefault="00396FCB">
            <w:pPr>
              <w:spacing w:before="0" w:after="0"/>
              <w:jc w:val="left"/>
            </w:pPr>
            <w:r>
              <w:t>Principal place of business (seat)</w:t>
            </w:r>
          </w:p>
        </w:tc>
        <w:tc>
          <w:tcPr>
            <w:tcW w:w="4536" w:type="dxa"/>
          </w:tcPr>
          <w:p w14:paraId="1603AA0B" w14:textId="2BA73292" w:rsidR="008722AE" w:rsidRDefault="008722AE">
            <w:pPr>
              <w:spacing w:before="0" w:after="0"/>
            </w:pPr>
          </w:p>
        </w:tc>
      </w:tr>
      <w:tr w:rsidR="00C546A0" w14:paraId="3C14ACA2" w14:textId="77777777">
        <w:trPr>
          <w:gridAfter w:val="1"/>
          <w:wAfter w:w="4536" w:type="dxa"/>
          <w:trHeight w:val="340"/>
        </w:trPr>
        <w:tc>
          <w:tcPr>
            <w:tcW w:w="2018" w:type="dxa"/>
            <w:vAlign w:val="center"/>
          </w:tcPr>
          <w:p w14:paraId="67745A05" w14:textId="77777777" w:rsidR="00C546A0" w:rsidRDefault="00C546A0">
            <w:pPr>
              <w:spacing w:before="0" w:after="0"/>
              <w:jc w:val="left"/>
            </w:pPr>
            <w:r>
              <w:t>Company Register</w:t>
            </w:r>
          </w:p>
        </w:tc>
      </w:tr>
      <w:tr w:rsidR="00C546A0" w14:paraId="248C8B59" w14:textId="77777777">
        <w:trPr>
          <w:gridAfter w:val="1"/>
          <w:wAfter w:w="4536" w:type="dxa"/>
          <w:trHeight w:val="340"/>
        </w:trPr>
        <w:tc>
          <w:tcPr>
            <w:tcW w:w="2018" w:type="dxa"/>
            <w:vAlign w:val="center"/>
          </w:tcPr>
          <w:p w14:paraId="002F9580" w14:textId="77777777" w:rsidR="00C546A0" w:rsidRDefault="00C546A0">
            <w:pPr>
              <w:spacing w:before="0" w:after="0"/>
              <w:jc w:val="left"/>
            </w:pPr>
            <w:r>
              <w:t>VAT-ID No.</w:t>
            </w:r>
          </w:p>
        </w:tc>
      </w:tr>
      <w:tr w:rsidR="00C546A0" w14:paraId="004654DC" w14:textId="77777777">
        <w:trPr>
          <w:gridAfter w:val="1"/>
          <w:wAfter w:w="4536" w:type="dxa"/>
          <w:trHeight w:val="340"/>
        </w:trPr>
        <w:tc>
          <w:tcPr>
            <w:tcW w:w="2018" w:type="dxa"/>
            <w:vAlign w:val="center"/>
          </w:tcPr>
          <w:p w14:paraId="3ECA8DFA" w14:textId="77777777" w:rsidR="00C546A0" w:rsidRDefault="00C546A0">
            <w:pPr>
              <w:spacing w:before="0" w:after="0"/>
              <w:jc w:val="left"/>
            </w:pPr>
            <w:r>
              <w:t>Website</w:t>
            </w:r>
          </w:p>
        </w:tc>
      </w:tr>
      <w:tr w:rsidR="00C546A0" w14:paraId="27238B5B" w14:textId="77777777">
        <w:trPr>
          <w:gridAfter w:val="1"/>
          <w:wAfter w:w="4536" w:type="dxa"/>
          <w:trHeight w:val="340"/>
        </w:trPr>
        <w:tc>
          <w:tcPr>
            <w:tcW w:w="2018" w:type="dxa"/>
            <w:vAlign w:val="center"/>
          </w:tcPr>
          <w:p w14:paraId="25323DC9" w14:textId="77777777" w:rsidR="00C546A0" w:rsidRDefault="00C546A0">
            <w:pPr>
              <w:spacing w:before="0" w:after="0"/>
              <w:jc w:val="left"/>
            </w:pPr>
            <w:r>
              <w:t>Represented by</w:t>
            </w:r>
          </w:p>
        </w:tc>
      </w:tr>
      <w:tr w:rsidR="00C546A0" w14:paraId="0AE31368" w14:textId="77777777">
        <w:trPr>
          <w:gridAfter w:val="1"/>
          <w:wAfter w:w="4536" w:type="dxa"/>
          <w:trHeight w:val="340"/>
        </w:trPr>
        <w:tc>
          <w:tcPr>
            <w:tcW w:w="2018" w:type="dxa"/>
            <w:vAlign w:val="center"/>
          </w:tcPr>
          <w:p w14:paraId="19A5E6B2" w14:textId="77777777" w:rsidR="00C546A0" w:rsidRDefault="00C546A0">
            <w:pPr>
              <w:spacing w:before="0" w:after="0"/>
              <w:jc w:val="left"/>
            </w:pPr>
            <w:r>
              <w:t>E-mail representative</w:t>
            </w:r>
          </w:p>
        </w:tc>
      </w:tr>
    </w:tbl>
    <w:p w14:paraId="446C2DB6" w14:textId="77777777" w:rsidR="008722AE" w:rsidRDefault="008722AE">
      <w:pPr>
        <w:bidi/>
        <w:jc w:val="center"/>
      </w:pPr>
    </w:p>
    <w:p w14:paraId="05226A0D" w14:textId="77777777" w:rsidR="008722AE" w:rsidRDefault="00396FCB">
      <w:pPr>
        <w:jc w:val="center"/>
      </w:pPr>
      <w:r>
        <w:t>and</w:t>
      </w:r>
    </w:p>
    <w:p w14:paraId="144B1A6A" w14:textId="77777777" w:rsidR="008722AE" w:rsidRDefault="008722AE"/>
    <w:p w14:paraId="204115FF" w14:textId="43146ED5" w:rsidR="008722AE" w:rsidRDefault="009D22F8">
      <w:r>
        <w:rPr>
          <w:rFonts w:ascii="Arial" w:eastAsia="Arial" w:hAnsi="Arial" w:cs="Arial"/>
          <w:b/>
        </w:rPr>
        <w:t>XXXXXXXXXX</w:t>
      </w:r>
      <w:r w:rsidR="00396FCB">
        <w:t>, on its behalf and on behalf of its affiliates, and direct and indirect subsidiaries (herein referred to as: “</w:t>
      </w:r>
      <w:r w:rsidR="00396FCB">
        <w:rPr>
          <w:b/>
        </w:rPr>
        <w:t>Company</w:t>
      </w:r>
      <w:r w:rsidR="00396FCB">
        <w:t>”)</w:t>
      </w:r>
    </w:p>
    <w:tbl>
      <w:tblPr>
        <w:tblStyle w:val="af"/>
        <w:tblW w:w="6555" w:type="dxa"/>
        <w:tblInd w:w="1384" w:type="dxa"/>
        <w:tblBorders>
          <w:top w:val="nil"/>
          <w:left w:val="nil"/>
          <w:bottom w:val="nil"/>
          <w:right w:val="nil"/>
          <w:insideH w:val="nil"/>
          <w:insideV w:val="nil"/>
        </w:tblBorders>
        <w:tblLayout w:type="fixed"/>
        <w:tblLook w:val="0400" w:firstRow="0" w:lastRow="0" w:firstColumn="0" w:lastColumn="0" w:noHBand="0" w:noVBand="1"/>
      </w:tblPr>
      <w:tblGrid>
        <w:gridCol w:w="1965"/>
        <w:gridCol w:w="4590"/>
      </w:tblGrid>
      <w:tr w:rsidR="008722AE" w14:paraId="1321D971" w14:textId="77777777">
        <w:trPr>
          <w:trHeight w:val="397"/>
        </w:trPr>
        <w:tc>
          <w:tcPr>
            <w:tcW w:w="1965" w:type="dxa"/>
            <w:vMerge w:val="restart"/>
            <w:vAlign w:val="center"/>
          </w:tcPr>
          <w:p w14:paraId="7BF5A808" w14:textId="77777777" w:rsidR="008722AE" w:rsidRDefault="00396FCB">
            <w:pPr>
              <w:spacing w:before="0" w:after="0"/>
              <w:jc w:val="left"/>
            </w:pPr>
            <w:r>
              <w:t>Principal place of business (seat)</w:t>
            </w:r>
          </w:p>
        </w:tc>
        <w:tc>
          <w:tcPr>
            <w:tcW w:w="4590" w:type="dxa"/>
            <w:tcBorders>
              <w:bottom w:val="dashed" w:sz="4" w:space="0" w:color="BFBFBF"/>
            </w:tcBorders>
            <w:vAlign w:val="center"/>
          </w:tcPr>
          <w:p w14:paraId="1A3C374A" w14:textId="77777777" w:rsidR="008722AE" w:rsidRDefault="008722AE">
            <w:pPr>
              <w:spacing w:before="0" w:after="0"/>
              <w:jc w:val="left"/>
            </w:pPr>
          </w:p>
        </w:tc>
      </w:tr>
      <w:tr w:rsidR="008722AE" w14:paraId="06BDECBE" w14:textId="77777777">
        <w:trPr>
          <w:trHeight w:val="397"/>
        </w:trPr>
        <w:tc>
          <w:tcPr>
            <w:tcW w:w="1965" w:type="dxa"/>
            <w:vMerge/>
            <w:vAlign w:val="center"/>
          </w:tcPr>
          <w:p w14:paraId="149F8970" w14:textId="77777777" w:rsidR="008722AE" w:rsidRDefault="008722AE">
            <w:pPr>
              <w:widowControl w:val="0"/>
              <w:pBdr>
                <w:top w:val="nil"/>
                <w:left w:val="nil"/>
                <w:bottom w:val="nil"/>
                <w:right w:val="nil"/>
                <w:between w:val="nil"/>
              </w:pBdr>
              <w:spacing w:before="0" w:after="0" w:line="276" w:lineRule="auto"/>
              <w:jc w:val="left"/>
            </w:pPr>
          </w:p>
        </w:tc>
        <w:tc>
          <w:tcPr>
            <w:tcW w:w="4590" w:type="dxa"/>
            <w:tcBorders>
              <w:top w:val="dashed" w:sz="4" w:space="0" w:color="BFBFBF"/>
              <w:bottom w:val="dashed" w:sz="4" w:space="0" w:color="BFBFBF"/>
            </w:tcBorders>
            <w:vAlign w:val="center"/>
          </w:tcPr>
          <w:p w14:paraId="476848CE" w14:textId="77777777" w:rsidR="008722AE" w:rsidRDefault="008722AE">
            <w:pPr>
              <w:spacing w:before="0" w:after="0"/>
              <w:jc w:val="left"/>
            </w:pPr>
          </w:p>
        </w:tc>
      </w:tr>
      <w:tr w:rsidR="008722AE" w14:paraId="2CFF37A0" w14:textId="77777777">
        <w:trPr>
          <w:trHeight w:val="397"/>
        </w:trPr>
        <w:tc>
          <w:tcPr>
            <w:tcW w:w="1965" w:type="dxa"/>
            <w:vMerge/>
            <w:vAlign w:val="center"/>
          </w:tcPr>
          <w:p w14:paraId="3F2FE9B3" w14:textId="77777777" w:rsidR="008722AE" w:rsidRDefault="008722AE">
            <w:pPr>
              <w:widowControl w:val="0"/>
              <w:pBdr>
                <w:top w:val="nil"/>
                <w:left w:val="nil"/>
                <w:bottom w:val="nil"/>
                <w:right w:val="nil"/>
                <w:between w:val="nil"/>
              </w:pBdr>
              <w:spacing w:before="0" w:after="0" w:line="276" w:lineRule="auto"/>
              <w:jc w:val="left"/>
            </w:pPr>
          </w:p>
        </w:tc>
        <w:tc>
          <w:tcPr>
            <w:tcW w:w="4590" w:type="dxa"/>
            <w:tcBorders>
              <w:top w:val="dashed" w:sz="4" w:space="0" w:color="BFBFBF"/>
              <w:bottom w:val="dashed" w:sz="4" w:space="0" w:color="BFBFBF"/>
            </w:tcBorders>
            <w:vAlign w:val="center"/>
          </w:tcPr>
          <w:p w14:paraId="2C25461B" w14:textId="77777777" w:rsidR="008722AE" w:rsidRDefault="008722AE">
            <w:pPr>
              <w:spacing w:before="0" w:after="0"/>
              <w:jc w:val="left"/>
            </w:pPr>
          </w:p>
        </w:tc>
      </w:tr>
      <w:tr w:rsidR="008722AE" w14:paraId="18D86203" w14:textId="77777777">
        <w:trPr>
          <w:trHeight w:val="397"/>
        </w:trPr>
        <w:tc>
          <w:tcPr>
            <w:tcW w:w="1965" w:type="dxa"/>
            <w:vMerge/>
            <w:vAlign w:val="center"/>
          </w:tcPr>
          <w:p w14:paraId="5605C958" w14:textId="77777777" w:rsidR="008722AE" w:rsidRDefault="008722AE">
            <w:pPr>
              <w:widowControl w:val="0"/>
              <w:pBdr>
                <w:top w:val="nil"/>
                <w:left w:val="nil"/>
                <w:bottom w:val="nil"/>
                <w:right w:val="nil"/>
                <w:between w:val="nil"/>
              </w:pBdr>
              <w:spacing w:before="0" w:after="0" w:line="276" w:lineRule="auto"/>
              <w:jc w:val="left"/>
            </w:pPr>
          </w:p>
        </w:tc>
        <w:tc>
          <w:tcPr>
            <w:tcW w:w="4590" w:type="dxa"/>
            <w:tcBorders>
              <w:top w:val="dashed" w:sz="4" w:space="0" w:color="BFBFBF"/>
              <w:bottom w:val="dashed" w:sz="4" w:space="0" w:color="BFBFBF"/>
            </w:tcBorders>
            <w:vAlign w:val="center"/>
          </w:tcPr>
          <w:p w14:paraId="370A151A" w14:textId="77777777" w:rsidR="008722AE" w:rsidRDefault="008722AE">
            <w:pPr>
              <w:spacing w:before="0" w:after="0"/>
              <w:jc w:val="left"/>
            </w:pPr>
          </w:p>
        </w:tc>
      </w:tr>
      <w:tr w:rsidR="008722AE" w14:paraId="71A659B0" w14:textId="77777777">
        <w:trPr>
          <w:trHeight w:val="397"/>
        </w:trPr>
        <w:tc>
          <w:tcPr>
            <w:tcW w:w="1965" w:type="dxa"/>
            <w:vAlign w:val="center"/>
          </w:tcPr>
          <w:p w14:paraId="4034BF38" w14:textId="77777777" w:rsidR="008722AE" w:rsidRDefault="00396FCB">
            <w:pPr>
              <w:spacing w:before="0" w:after="0"/>
              <w:jc w:val="left"/>
            </w:pPr>
            <w:r>
              <w:t xml:space="preserve">Register ID in Company Register </w:t>
            </w:r>
          </w:p>
        </w:tc>
        <w:tc>
          <w:tcPr>
            <w:tcW w:w="4590" w:type="dxa"/>
            <w:tcBorders>
              <w:top w:val="dashed" w:sz="4" w:space="0" w:color="BFBFBF"/>
              <w:bottom w:val="dashed" w:sz="4" w:space="0" w:color="BFBFBF"/>
            </w:tcBorders>
            <w:vAlign w:val="center"/>
          </w:tcPr>
          <w:p w14:paraId="42988EAD" w14:textId="77777777" w:rsidR="008722AE" w:rsidRDefault="008722AE">
            <w:pPr>
              <w:spacing w:before="0" w:after="0"/>
              <w:jc w:val="left"/>
            </w:pPr>
          </w:p>
        </w:tc>
      </w:tr>
      <w:tr w:rsidR="008722AE" w14:paraId="27FFC2AC" w14:textId="77777777">
        <w:trPr>
          <w:trHeight w:val="397"/>
        </w:trPr>
        <w:tc>
          <w:tcPr>
            <w:tcW w:w="1965" w:type="dxa"/>
            <w:vAlign w:val="center"/>
          </w:tcPr>
          <w:p w14:paraId="15CBA2C9" w14:textId="77777777" w:rsidR="008722AE" w:rsidRDefault="00396FCB">
            <w:pPr>
              <w:spacing w:before="0" w:after="0"/>
              <w:jc w:val="left"/>
            </w:pPr>
            <w:r>
              <w:t>Tax/VAT/EID-ID No.</w:t>
            </w:r>
          </w:p>
        </w:tc>
        <w:tc>
          <w:tcPr>
            <w:tcW w:w="4590" w:type="dxa"/>
            <w:tcBorders>
              <w:top w:val="dashed" w:sz="4" w:space="0" w:color="BFBFBF"/>
              <w:bottom w:val="dashed" w:sz="4" w:space="0" w:color="BFBFBF"/>
            </w:tcBorders>
            <w:vAlign w:val="center"/>
          </w:tcPr>
          <w:p w14:paraId="4030B796" w14:textId="77777777" w:rsidR="008722AE" w:rsidRDefault="008722AE">
            <w:pPr>
              <w:spacing w:before="0" w:after="0"/>
              <w:jc w:val="left"/>
            </w:pPr>
          </w:p>
        </w:tc>
      </w:tr>
      <w:tr w:rsidR="00557C12" w14:paraId="26AF3018" w14:textId="77777777">
        <w:trPr>
          <w:gridAfter w:val="1"/>
          <w:wAfter w:w="4590" w:type="dxa"/>
          <w:trHeight w:val="397"/>
        </w:trPr>
        <w:tc>
          <w:tcPr>
            <w:tcW w:w="1965" w:type="dxa"/>
            <w:vAlign w:val="center"/>
          </w:tcPr>
          <w:p w14:paraId="19DBF769" w14:textId="77777777" w:rsidR="00557C12" w:rsidRDefault="00557C12">
            <w:pPr>
              <w:spacing w:before="0" w:after="0"/>
              <w:jc w:val="left"/>
            </w:pPr>
            <w:r>
              <w:t>Website</w:t>
            </w:r>
          </w:p>
        </w:tc>
      </w:tr>
      <w:tr w:rsidR="008722AE" w14:paraId="76B52781" w14:textId="77777777">
        <w:trPr>
          <w:trHeight w:val="397"/>
        </w:trPr>
        <w:tc>
          <w:tcPr>
            <w:tcW w:w="1965" w:type="dxa"/>
            <w:vAlign w:val="center"/>
          </w:tcPr>
          <w:p w14:paraId="29D4BDFF" w14:textId="77777777" w:rsidR="008722AE" w:rsidRDefault="00396FCB">
            <w:pPr>
              <w:spacing w:before="0" w:after="0"/>
              <w:jc w:val="left"/>
            </w:pPr>
            <w:r>
              <w:lastRenderedPageBreak/>
              <w:t>Represented by</w:t>
            </w:r>
          </w:p>
        </w:tc>
        <w:tc>
          <w:tcPr>
            <w:tcW w:w="4590" w:type="dxa"/>
            <w:tcBorders>
              <w:top w:val="dashed" w:sz="4" w:space="0" w:color="BFBFBF"/>
              <w:bottom w:val="dashed" w:sz="4" w:space="0" w:color="BFBFBF"/>
            </w:tcBorders>
            <w:vAlign w:val="center"/>
          </w:tcPr>
          <w:p w14:paraId="618998BB" w14:textId="77777777" w:rsidR="008722AE" w:rsidRDefault="008722AE">
            <w:pPr>
              <w:spacing w:before="0" w:after="0"/>
              <w:jc w:val="left"/>
              <w:rPr>
                <w:highlight w:val="white"/>
              </w:rPr>
            </w:pPr>
          </w:p>
        </w:tc>
      </w:tr>
      <w:tr w:rsidR="008722AE" w14:paraId="37152D0D" w14:textId="77777777">
        <w:trPr>
          <w:trHeight w:val="397"/>
        </w:trPr>
        <w:tc>
          <w:tcPr>
            <w:tcW w:w="1965" w:type="dxa"/>
            <w:vAlign w:val="center"/>
          </w:tcPr>
          <w:p w14:paraId="1EB97D72" w14:textId="77777777" w:rsidR="008722AE" w:rsidRDefault="00396FCB">
            <w:pPr>
              <w:spacing w:before="0" w:after="0"/>
              <w:jc w:val="left"/>
            </w:pPr>
            <w:r>
              <w:t>E-mail representative</w:t>
            </w:r>
          </w:p>
        </w:tc>
        <w:tc>
          <w:tcPr>
            <w:tcW w:w="4590" w:type="dxa"/>
            <w:tcBorders>
              <w:top w:val="dashed" w:sz="4" w:space="0" w:color="BFBFBF"/>
              <w:bottom w:val="dashed" w:sz="4" w:space="0" w:color="BFBFBF"/>
            </w:tcBorders>
            <w:vAlign w:val="center"/>
          </w:tcPr>
          <w:p w14:paraId="4D0E4260" w14:textId="77777777" w:rsidR="008722AE" w:rsidRDefault="00396FCB">
            <w:pPr>
              <w:spacing w:before="0" w:after="0"/>
              <w:jc w:val="left"/>
            </w:pPr>
            <w:r>
              <w:t xml:space="preserve">                   @          </w:t>
            </w:r>
          </w:p>
        </w:tc>
      </w:tr>
    </w:tbl>
    <w:p w14:paraId="426E0CD6" w14:textId="77777777" w:rsidR="008722AE" w:rsidRDefault="008722AE">
      <w:pPr>
        <w:rPr>
          <w:sz w:val="20"/>
          <w:szCs w:val="20"/>
        </w:rPr>
      </w:pPr>
    </w:p>
    <w:p w14:paraId="12EF41AA" w14:textId="77777777" w:rsidR="008722AE" w:rsidRDefault="00396FCB">
      <w:pPr>
        <w:jc w:val="left"/>
      </w:pPr>
      <w:r>
        <w:t>each referred to as „</w:t>
      </w:r>
      <w:r>
        <w:rPr>
          <w:b/>
        </w:rPr>
        <w:t>Party</w:t>
      </w:r>
      <w:r>
        <w:t>“ and together as “</w:t>
      </w:r>
      <w:r>
        <w:rPr>
          <w:b/>
        </w:rPr>
        <w:t>Parties</w:t>
      </w:r>
      <w:r>
        <w:t>”.</w:t>
      </w:r>
    </w:p>
    <w:p w14:paraId="7FB6DB04" w14:textId="77777777" w:rsidR="008722AE" w:rsidRDefault="008722AE"/>
    <w:p w14:paraId="24FD1480" w14:textId="77777777" w:rsidR="008722AE" w:rsidRDefault="00396FCB">
      <w:pPr>
        <w:rPr>
          <w:b/>
        </w:rPr>
      </w:pPr>
      <w:r>
        <w:br w:type="page"/>
      </w:r>
    </w:p>
    <w:p w14:paraId="1C0849A5" w14:textId="77777777" w:rsidR="008722AE" w:rsidRDefault="00396FCB">
      <w:r>
        <w:rPr>
          <w:b/>
        </w:rPr>
        <w:lastRenderedPageBreak/>
        <w:t>WHEREAS</w:t>
      </w:r>
      <w:r>
        <w:t>, MENU is a provider of white-label software-as-a-service restaurant ecosystems covering the guest journey by enabling self-order, pay and guest engagement inside and outside of restaurants. Using different guest channel applications (mobile, web or kiosk), an ecosystem powered by MENU is covering the order types dine-in, take-out, curbside and delivery. The incentive programs Coupons, Rewards and Loyalty are further important software components of an ecosystem powered by MENU; and</w:t>
      </w:r>
    </w:p>
    <w:p w14:paraId="04FDFBF0" w14:textId="77777777" w:rsidR="008722AE" w:rsidRDefault="00396FCB">
      <w:pPr>
        <w:jc w:val="left"/>
      </w:pPr>
      <w:r>
        <w:rPr>
          <w:b/>
        </w:rPr>
        <w:t xml:space="preserve">WHEREAS, </w:t>
      </w:r>
      <w:r>
        <w:t>Company is a web development company,</w:t>
      </w:r>
      <w:r>
        <w:rPr>
          <w:rFonts w:ascii="Times New Roman" w:hAnsi="Times New Roman" w:cs="Times New Roman"/>
          <w:sz w:val="24"/>
          <w:szCs w:val="24"/>
        </w:rPr>
        <w:t xml:space="preserve"> </w:t>
      </w:r>
      <w:r>
        <w:t>in the business of building websites, and providing further online presence technology, consulting, software development, systems integration and managed services; and</w:t>
      </w:r>
    </w:p>
    <w:p w14:paraId="1EB6D41F" w14:textId="77777777" w:rsidR="008722AE" w:rsidRDefault="00396FCB">
      <w:bookmarkStart w:id="0" w:name="_heading=h.1fob9te" w:colFirst="0" w:colLast="0"/>
      <w:bookmarkEnd w:id="0"/>
      <w:r>
        <w:rPr>
          <w:b/>
        </w:rPr>
        <w:t xml:space="preserve">WHEREAS, </w:t>
      </w:r>
      <w:r>
        <w:t>MENU and Company are interested in exploring the possibility of a business collaboration (the "</w:t>
      </w:r>
      <w:r>
        <w:rPr>
          <w:b/>
        </w:rPr>
        <w:t>Project</w:t>
      </w:r>
      <w:r>
        <w:t>");</w:t>
      </w:r>
    </w:p>
    <w:p w14:paraId="66F469FF" w14:textId="77777777" w:rsidR="008722AE" w:rsidRDefault="00396FCB">
      <w:r>
        <w:rPr>
          <w:b/>
        </w:rPr>
        <w:t>WHEREAS</w:t>
      </w:r>
      <w:r>
        <w:t>, each Party is in possession of Confidential Information (as defined hereafter) regarding their business and operations relating to such Project which they are willing to make available to the other Party subject to the terms of this Agreement;</w:t>
      </w:r>
    </w:p>
    <w:p w14:paraId="49935971" w14:textId="77777777" w:rsidR="008722AE" w:rsidRDefault="00396FCB">
      <w:r>
        <w:rPr>
          <w:b/>
        </w:rPr>
        <w:t>WHEREAS</w:t>
      </w:r>
      <w:r>
        <w:t>, each Party wishes to ensure that its Confidential Information so disclosed remains confidential under the terms of this Agreement.</w:t>
      </w:r>
      <w:r>
        <w:tab/>
      </w:r>
    </w:p>
    <w:p w14:paraId="34DB1CEB" w14:textId="77777777" w:rsidR="008722AE" w:rsidRDefault="00396FCB">
      <w:r>
        <w:rPr>
          <w:b/>
        </w:rPr>
        <w:t>NOW, THEREFORE</w:t>
      </w:r>
      <w:r>
        <w:t>, in consideration of the mutual premises and mutual covenants contained herein, the Parties hereto agree as follows:</w:t>
      </w:r>
    </w:p>
    <w:p w14:paraId="54F1272E" w14:textId="77777777" w:rsidR="008722AE" w:rsidRDefault="00396FCB">
      <w:pPr>
        <w:pStyle w:val="Heading1"/>
        <w:numPr>
          <w:ilvl w:val="0"/>
          <w:numId w:val="2"/>
        </w:numPr>
        <w:tabs>
          <w:tab w:val="left" w:pos="1020"/>
          <w:tab w:val="left" w:pos="1021"/>
          <w:tab w:val="left" w:pos="1020"/>
          <w:tab w:val="left" w:pos="1021"/>
          <w:tab w:val="left" w:pos="1020"/>
          <w:tab w:val="left" w:pos="1021"/>
          <w:tab w:val="left" w:pos="1020"/>
          <w:tab w:val="left" w:pos="1021"/>
          <w:tab w:val="left" w:pos="1020"/>
          <w:tab w:val="left" w:pos="1021"/>
        </w:tabs>
      </w:pPr>
      <w:r>
        <w:t>Confidential information</w:t>
      </w:r>
      <w:r>
        <w:tab/>
      </w:r>
    </w:p>
    <w:p w14:paraId="4278F850" w14:textId="77777777" w:rsidR="008722AE" w:rsidRDefault="00396FCB">
      <w:pPr>
        <w:pStyle w:val="Heading2"/>
        <w:numPr>
          <w:ilvl w:val="1"/>
          <w:numId w:val="2"/>
        </w:numPr>
        <w:ind w:left="90" w:firstLine="0"/>
      </w:pPr>
      <w:r>
        <w:t>For the purpose of this Agreement, "</w:t>
      </w:r>
      <w:r>
        <w:rPr>
          <w:b/>
        </w:rPr>
        <w:t>Confidential Information</w:t>
      </w:r>
      <w:r>
        <w:t>" shall mean with respect to the Disclosing Party’s business, including without limitation any information, data, that may relate to the Disclosing Party’s products, whether in distribution or under development, trade secrets, computer source code and object code, software and other product designs and specifications, methodologies, financial information and projections or documentation disclosed, directly or indirectly, in writing, verbally, electronically or by any other means, by either Party or a third party designated by that Party ("</w:t>
      </w:r>
      <w:r>
        <w:rPr>
          <w:b/>
        </w:rPr>
        <w:t>Disclosing Party</w:t>
      </w:r>
      <w:r>
        <w:t>") to the other Party ("</w:t>
      </w:r>
      <w:r>
        <w:rPr>
          <w:b/>
        </w:rPr>
        <w:t>Receiving Party</w:t>
      </w:r>
      <w:r>
        <w:t xml:space="preserve">"). Such Confidential Information includes, but is not limited to, business plans, proposals, processes, forecasts, ideas, concepts, methods, techniques, projections, analyses, specifications, marketing information, financial information, and any other information regarding the Parties’ business and operations however that Confidential Information shall not include the following:  </w:t>
      </w:r>
    </w:p>
    <w:p w14:paraId="35DADE6B" w14:textId="77777777" w:rsidR="008722AE" w:rsidRDefault="00396FCB">
      <w:pPr>
        <w:widowControl w:val="0"/>
        <w:numPr>
          <w:ilvl w:val="0"/>
          <w:numId w:val="1"/>
        </w:numPr>
        <w:pBdr>
          <w:top w:val="nil"/>
          <w:left w:val="nil"/>
          <w:bottom w:val="nil"/>
          <w:right w:val="nil"/>
          <w:between w:val="nil"/>
        </w:pBdr>
        <w:tabs>
          <w:tab w:val="left" w:pos="1020"/>
          <w:tab w:val="left" w:pos="1021"/>
        </w:tabs>
        <w:spacing w:before="120"/>
        <w:ind w:left="993"/>
        <w:rPr>
          <w:color w:val="262626"/>
        </w:rPr>
      </w:pPr>
      <w:r>
        <w:rPr>
          <w:color w:val="262626"/>
        </w:rPr>
        <w:t xml:space="preserve">information that is or becomes publicly known through no wrongful act of the other Party; </w:t>
      </w:r>
    </w:p>
    <w:p w14:paraId="2893820B" w14:textId="77777777" w:rsidR="008722AE" w:rsidRDefault="00396FCB">
      <w:pPr>
        <w:widowControl w:val="0"/>
        <w:numPr>
          <w:ilvl w:val="0"/>
          <w:numId w:val="1"/>
        </w:numPr>
        <w:pBdr>
          <w:top w:val="nil"/>
          <w:left w:val="nil"/>
          <w:bottom w:val="nil"/>
          <w:right w:val="nil"/>
          <w:between w:val="nil"/>
        </w:pBdr>
        <w:tabs>
          <w:tab w:val="left" w:pos="1020"/>
          <w:tab w:val="left" w:pos="1021"/>
        </w:tabs>
        <w:spacing w:before="120"/>
        <w:ind w:left="993"/>
        <w:rPr>
          <w:color w:val="262626"/>
        </w:rPr>
      </w:pPr>
      <w:r>
        <w:rPr>
          <w:color w:val="262626"/>
        </w:rPr>
        <w:t xml:space="preserve">information that was available in writing to the Receiving Party on a non-confidential basis prior to the Disclosing Party’s disclosure, and written documentation is available to prove that such development predated this Agreement; </w:t>
      </w:r>
    </w:p>
    <w:p w14:paraId="3DF0AB4D" w14:textId="77777777" w:rsidR="008722AE" w:rsidRDefault="00396FCB">
      <w:pPr>
        <w:widowControl w:val="0"/>
        <w:numPr>
          <w:ilvl w:val="0"/>
          <w:numId w:val="1"/>
        </w:numPr>
        <w:pBdr>
          <w:top w:val="nil"/>
          <w:left w:val="nil"/>
          <w:bottom w:val="nil"/>
          <w:right w:val="nil"/>
          <w:between w:val="nil"/>
        </w:pBdr>
        <w:tabs>
          <w:tab w:val="left" w:pos="1020"/>
          <w:tab w:val="left" w:pos="1021"/>
        </w:tabs>
        <w:spacing w:before="120"/>
        <w:ind w:left="993"/>
        <w:rPr>
          <w:color w:val="262626"/>
        </w:rPr>
      </w:pPr>
      <w:r>
        <w:rPr>
          <w:color w:val="262626"/>
        </w:rPr>
        <w:t xml:space="preserve">information that a third party discloses to the other Party without the third party breaching any confidentiality obligations; </w:t>
      </w:r>
    </w:p>
    <w:p w14:paraId="54E87181" w14:textId="77777777" w:rsidR="008722AE" w:rsidRDefault="00396FCB">
      <w:pPr>
        <w:widowControl w:val="0"/>
        <w:numPr>
          <w:ilvl w:val="0"/>
          <w:numId w:val="1"/>
        </w:numPr>
        <w:pBdr>
          <w:top w:val="nil"/>
          <w:left w:val="nil"/>
          <w:bottom w:val="nil"/>
          <w:right w:val="nil"/>
          <w:between w:val="nil"/>
        </w:pBdr>
        <w:tabs>
          <w:tab w:val="left" w:pos="1020"/>
          <w:tab w:val="left" w:pos="1021"/>
        </w:tabs>
        <w:spacing w:before="120"/>
        <w:ind w:left="993"/>
        <w:rPr>
          <w:color w:val="262626"/>
        </w:rPr>
      </w:pPr>
      <w:r>
        <w:rPr>
          <w:color w:val="262626"/>
        </w:rPr>
        <w:t>information that is independently developed by a Party without relying on any of the Confidential Information that the other Party provides; or</w:t>
      </w:r>
    </w:p>
    <w:p w14:paraId="7457351B" w14:textId="77777777" w:rsidR="008722AE" w:rsidRDefault="00396FCB">
      <w:pPr>
        <w:widowControl w:val="0"/>
        <w:numPr>
          <w:ilvl w:val="0"/>
          <w:numId w:val="1"/>
        </w:numPr>
        <w:pBdr>
          <w:top w:val="nil"/>
          <w:left w:val="nil"/>
          <w:bottom w:val="nil"/>
          <w:right w:val="nil"/>
          <w:between w:val="nil"/>
        </w:pBdr>
        <w:tabs>
          <w:tab w:val="left" w:pos="1020"/>
          <w:tab w:val="left" w:pos="1021"/>
        </w:tabs>
        <w:spacing w:before="120"/>
        <w:ind w:left="993"/>
        <w:rPr>
          <w:color w:val="262626"/>
        </w:rPr>
      </w:pPr>
      <w:r>
        <w:rPr>
          <w:color w:val="262626"/>
        </w:rPr>
        <w:t>information that a Party is required to disclose by applicable law or by the order of a competent court or other governmental authority, provided that the Party being ordered to disclose Confidential Information provides the other Party with prior written notice of the circumstances in which the disclosure of such information is required, to the extent such notice is not restricted by the order of the competent court or governmental authority.</w:t>
      </w:r>
      <w:r>
        <w:br w:type="page"/>
      </w:r>
    </w:p>
    <w:p w14:paraId="509D4571" w14:textId="77777777" w:rsidR="008722AE" w:rsidRDefault="00396FCB">
      <w:pPr>
        <w:pStyle w:val="Heading1"/>
        <w:numPr>
          <w:ilvl w:val="0"/>
          <w:numId w:val="2"/>
        </w:numPr>
        <w:tabs>
          <w:tab w:val="left" w:pos="1020"/>
          <w:tab w:val="left" w:pos="1021"/>
          <w:tab w:val="left" w:pos="1020"/>
          <w:tab w:val="left" w:pos="1021"/>
          <w:tab w:val="left" w:pos="1020"/>
          <w:tab w:val="left" w:pos="1021"/>
          <w:tab w:val="left" w:pos="1020"/>
          <w:tab w:val="left" w:pos="1021"/>
          <w:tab w:val="left" w:pos="1020"/>
          <w:tab w:val="left" w:pos="1021"/>
        </w:tabs>
      </w:pPr>
      <w:r>
        <w:lastRenderedPageBreak/>
        <w:t>Confidentiality Obligations</w:t>
      </w:r>
    </w:p>
    <w:p w14:paraId="3C7DEAF9" w14:textId="77777777" w:rsidR="008722AE" w:rsidRDefault="00396FCB">
      <w:pPr>
        <w:pStyle w:val="Heading2"/>
        <w:numPr>
          <w:ilvl w:val="1"/>
          <w:numId w:val="2"/>
        </w:numPr>
        <w:ind w:left="90" w:firstLine="0"/>
      </w:pPr>
      <w:r>
        <w:t>Subject to Article ‎2.2., each Party shall keep the Confidential Information of the other Party, as well as the existence of the Project, strictly confidential and shall not disclose to any third party Confidential Information of the other Party, and will only use the Confidential Information for the purpose of evaluating or pursuing a business opportunity in connection with the Project.</w:t>
      </w:r>
    </w:p>
    <w:p w14:paraId="45AC3403" w14:textId="77777777" w:rsidR="008722AE" w:rsidRDefault="00396FCB">
      <w:pPr>
        <w:pStyle w:val="Heading2"/>
        <w:numPr>
          <w:ilvl w:val="1"/>
          <w:numId w:val="2"/>
        </w:numPr>
        <w:ind w:left="90" w:firstLine="0"/>
      </w:pPr>
      <w:bookmarkStart w:id="1" w:name="_heading=h.3znysh7" w:colFirst="0" w:colLast="0"/>
      <w:bookmarkEnd w:id="1"/>
      <w:r>
        <w:t>Each Party shall disclose Confidential Information only to persons within its organization with a need to know such Confidential Information in the course of the performance of their duties, and who are bound by confidentiality obligations at least as restrictive as those set forth herein (“</w:t>
      </w:r>
      <w:r>
        <w:rPr>
          <w:b/>
        </w:rPr>
        <w:t>Representatives</w:t>
      </w:r>
      <w:r>
        <w:t xml:space="preserve">”).  </w:t>
      </w:r>
    </w:p>
    <w:p w14:paraId="7A5443F5" w14:textId="77777777" w:rsidR="008722AE" w:rsidRDefault="00396FCB">
      <w:pPr>
        <w:pStyle w:val="Heading2"/>
        <w:numPr>
          <w:ilvl w:val="1"/>
          <w:numId w:val="2"/>
        </w:numPr>
        <w:ind w:left="90" w:firstLine="0"/>
      </w:pPr>
      <w:r>
        <w:t xml:space="preserve">Each Party shall ensure that all Representatives who have access to the Confidential Information in accordance with Article </w:t>
      </w:r>
      <w:r>
        <w:rPr>
          <w:rFonts w:ascii="Arial" w:eastAsia="Arial" w:hAnsi="Arial" w:cs="Arial"/>
        </w:rPr>
        <w:t>‎</w:t>
      </w:r>
      <w:r>
        <w:t>2.2 are obliged to observe the non-disclosure obligations relating to such Confidential Information stipulated in this Agreement. Each Party shall be responsible for any breach of this Agreement by its Representatives.</w:t>
      </w:r>
    </w:p>
    <w:p w14:paraId="0DC00B4A" w14:textId="77777777" w:rsidR="008722AE" w:rsidRDefault="00396FCB">
      <w:pPr>
        <w:pStyle w:val="Heading2"/>
        <w:numPr>
          <w:ilvl w:val="1"/>
          <w:numId w:val="2"/>
        </w:numPr>
        <w:ind w:left="90" w:firstLine="0"/>
      </w:pPr>
      <w:r>
        <w:t xml:space="preserve">Each Party undertakes not to modify, copy, not to reverse engineer, decompile, disassemble or otherwise attempt to derive software source code,  not to remove any proprietary rights legend from, and upon Disclosing Party’s reasonable request to add such legend to, materials disclosing or embodying Confidential Information except as required for the purpose of evaluating or pursuing a business opportunity in connection with the Project. All reproductions shall contain all proprietary and confidential notices which appear on the original, unless otherwise authorized in writing by the Disclosing Party. </w:t>
      </w:r>
    </w:p>
    <w:p w14:paraId="1B7DBDF9" w14:textId="77777777" w:rsidR="008722AE" w:rsidRDefault="00396FCB">
      <w:pPr>
        <w:pStyle w:val="Heading2"/>
        <w:numPr>
          <w:ilvl w:val="1"/>
          <w:numId w:val="2"/>
        </w:numPr>
        <w:ind w:left="90" w:firstLine="0"/>
      </w:pPr>
      <w:r>
        <w:t xml:space="preserve">All Confidential Information as well as any reproduction thereof shall remain the property of the Disclosing Party. Except as provided herein, no right or license or other intellectual property to the Confidential Information is granted under this Agreement. </w:t>
      </w:r>
    </w:p>
    <w:p w14:paraId="41EDB3C0" w14:textId="77777777" w:rsidR="008722AE" w:rsidRDefault="00396FCB">
      <w:pPr>
        <w:pStyle w:val="Heading2"/>
        <w:numPr>
          <w:ilvl w:val="1"/>
          <w:numId w:val="2"/>
        </w:numPr>
        <w:ind w:left="90" w:firstLine="0"/>
      </w:pPr>
      <w:r>
        <w:t>On reasonable request by the Disclosing Party, but in any event upon expiration or termination of this Agreement or the business relationship between the Parties in relation to the Project, the Receiving Party shall return all Confidential Information to the Disclosing Party and destroy any and all copies thereof. The aforementioned does not apply to documents that are subject to statutory retention obligations, neither to data which is subject to regular backup processes, if deletion of such data would require unreasonable efforts, provided that the Receiving Party keeps confidential and protects such backup files against unauthorized access by measures in accordance with the current state-of-the-art technology.</w:t>
      </w:r>
    </w:p>
    <w:p w14:paraId="5715B2BA" w14:textId="77777777" w:rsidR="008722AE" w:rsidRDefault="00396FCB">
      <w:pPr>
        <w:pStyle w:val="Heading1"/>
        <w:numPr>
          <w:ilvl w:val="0"/>
          <w:numId w:val="2"/>
        </w:numPr>
        <w:tabs>
          <w:tab w:val="left" w:pos="1020"/>
          <w:tab w:val="left" w:pos="1021"/>
          <w:tab w:val="left" w:pos="1020"/>
          <w:tab w:val="left" w:pos="1021"/>
          <w:tab w:val="left" w:pos="1020"/>
          <w:tab w:val="left" w:pos="1021"/>
          <w:tab w:val="left" w:pos="1020"/>
          <w:tab w:val="left" w:pos="1021"/>
          <w:tab w:val="left" w:pos="1020"/>
          <w:tab w:val="left" w:pos="1021"/>
        </w:tabs>
      </w:pPr>
      <w:r>
        <w:t>Warranty</w:t>
      </w:r>
    </w:p>
    <w:p w14:paraId="76766B93" w14:textId="77777777" w:rsidR="008722AE" w:rsidRDefault="00396FCB">
      <w:pPr>
        <w:pStyle w:val="Heading2"/>
        <w:numPr>
          <w:ilvl w:val="1"/>
          <w:numId w:val="2"/>
        </w:numPr>
        <w:ind w:left="90" w:firstLine="0"/>
      </w:pPr>
      <w:r>
        <w:t>Each Party warrants that it has the right to disclose the Confidential Information to the other Party and to authorize the other Party to use the Confidential Information for the purpose of evaluating or pursuing a business opportunity in connection with the Project.</w:t>
      </w:r>
    </w:p>
    <w:p w14:paraId="3809D6B8" w14:textId="77777777" w:rsidR="008722AE" w:rsidRDefault="00396FCB">
      <w:pPr>
        <w:pStyle w:val="Heading1"/>
        <w:numPr>
          <w:ilvl w:val="0"/>
          <w:numId w:val="2"/>
        </w:numPr>
        <w:tabs>
          <w:tab w:val="left" w:pos="1020"/>
          <w:tab w:val="left" w:pos="1021"/>
          <w:tab w:val="left" w:pos="1020"/>
          <w:tab w:val="left" w:pos="1021"/>
          <w:tab w:val="left" w:pos="1020"/>
          <w:tab w:val="left" w:pos="1021"/>
          <w:tab w:val="left" w:pos="1020"/>
          <w:tab w:val="left" w:pos="1021"/>
          <w:tab w:val="left" w:pos="1020"/>
          <w:tab w:val="left" w:pos="1021"/>
        </w:tabs>
      </w:pPr>
      <w:r>
        <w:t>Disclaimer</w:t>
      </w:r>
    </w:p>
    <w:p w14:paraId="6C7F3578" w14:textId="77777777" w:rsidR="008722AE" w:rsidRDefault="00396FCB">
      <w:pPr>
        <w:pStyle w:val="Heading2"/>
        <w:numPr>
          <w:ilvl w:val="1"/>
          <w:numId w:val="2"/>
        </w:numPr>
        <w:ind w:left="90" w:firstLine="0"/>
      </w:pPr>
      <w:r>
        <w:t>All Confidential Information is provided without any warranty, express, implied or otherwise, regarding its accuracy, reliability or completeness. Accordingly, neither Party shall be obliged to provide further Confidential Information or to update or correct Confidential Information. This provision shall not exclude any liability for fraudulent misrepresentation.</w:t>
      </w:r>
    </w:p>
    <w:p w14:paraId="67333A9F" w14:textId="77777777" w:rsidR="008722AE" w:rsidRDefault="00396FCB">
      <w:pPr>
        <w:pStyle w:val="Heading1"/>
        <w:numPr>
          <w:ilvl w:val="0"/>
          <w:numId w:val="2"/>
        </w:numPr>
        <w:tabs>
          <w:tab w:val="left" w:pos="1020"/>
          <w:tab w:val="left" w:pos="1021"/>
          <w:tab w:val="left" w:pos="1020"/>
          <w:tab w:val="left" w:pos="1021"/>
          <w:tab w:val="left" w:pos="1020"/>
          <w:tab w:val="left" w:pos="1021"/>
          <w:tab w:val="left" w:pos="1020"/>
          <w:tab w:val="left" w:pos="1021"/>
          <w:tab w:val="left" w:pos="1020"/>
          <w:tab w:val="left" w:pos="1021"/>
        </w:tabs>
      </w:pPr>
      <w:r>
        <w:t>Remedies</w:t>
      </w:r>
    </w:p>
    <w:p w14:paraId="335CD3AF" w14:textId="77777777" w:rsidR="008722AE" w:rsidRDefault="00396FCB">
      <w:pPr>
        <w:pStyle w:val="Heading2"/>
        <w:numPr>
          <w:ilvl w:val="1"/>
          <w:numId w:val="2"/>
        </w:numPr>
        <w:ind w:left="90" w:firstLine="0"/>
      </w:pPr>
      <w:r>
        <w:t xml:space="preserve">The Parties acknowledge and agree that the Confidential Information is unique and valuable and that disclosure in breach of this Agreement may result in irreparable injury to the other Party for which monetary damages alone may not be an adequate or sufficient remedy. Therefore, in the event of a breach or a </w:t>
      </w:r>
      <w:r>
        <w:lastRenderedPageBreak/>
        <w:t>threatened breach of this Agreement, each Party shall be entitled to, in addition to compensation for damages, seek injunctive relief as a remedy for such breach or anticipated breach, without obligation to post bond, in addition to any other rights or remedies it may have.</w:t>
      </w:r>
    </w:p>
    <w:p w14:paraId="0B31A5F6" w14:textId="77777777" w:rsidR="008722AE" w:rsidRDefault="00396FCB">
      <w:pPr>
        <w:pStyle w:val="Heading1"/>
        <w:numPr>
          <w:ilvl w:val="0"/>
          <w:numId w:val="2"/>
        </w:numPr>
        <w:tabs>
          <w:tab w:val="left" w:pos="1020"/>
          <w:tab w:val="left" w:pos="1021"/>
          <w:tab w:val="left" w:pos="1020"/>
          <w:tab w:val="left" w:pos="1021"/>
          <w:tab w:val="left" w:pos="1020"/>
          <w:tab w:val="left" w:pos="1021"/>
          <w:tab w:val="left" w:pos="1020"/>
          <w:tab w:val="left" w:pos="1021"/>
          <w:tab w:val="left" w:pos="1020"/>
          <w:tab w:val="left" w:pos="1021"/>
        </w:tabs>
      </w:pPr>
      <w:r>
        <w:t>Duration</w:t>
      </w:r>
    </w:p>
    <w:p w14:paraId="0AB8897D" w14:textId="77777777" w:rsidR="008722AE" w:rsidRDefault="00396FCB">
      <w:pPr>
        <w:pStyle w:val="Heading2"/>
        <w:numPr>
          <w:ilvl w:val="1"/>
          <w:numId w:val="2"/>
        </w:numPr>
        <w:ind w:left="0" w:firstLine="0"/>
      </w:pPr>
      <w:r>
        <w:t xml:space="preserve">This Agreement shall continue for a period of </w:t>
      </w:r>
      <w:r>
        <w:rPr>
          <w:b/>
        </w:rPr>
        <w:t>two (2) years from the Effective Date</w:t>
      </w:r>
      <w:r>
        <w:t>, provided however, that all obligations hereunder with respect to the confidentiality and non-disclosure of Confidential Information received prior to the expiration or termination of this Agreement shall survive such expiration or termination for a period of 1 (one) year.</w:t>
      </w:r>
    </w:p>
    <w:p w14:paraId="647F3FF3" w14:textId="77777777" w:rsidR="008722AE" w:rsidRDefault="00396FCB">
      <w:pPr>
        <w:pStyle w:val="Heading1"/>
        <w:numPr>
          <w:ilvl w:val="0"/>
          <w:numId w:val="2"/>
        </w:numPr>
        <w:tabs>
          <w:tab w:val="left" w:pos="1020"/>
          <w:tab w:val="left" w:pos="1021"/>
          <w:tab w:val="left" w:pos="1020"/>
          <w:tab w:val="left" w:pos="1021"/>
          <w:tab w:val="left" w:pos="1020"/>
          <w:tab w:val="left" w:pos="1021"/>
          <w:tab w:val="left" w:pos="1020"/>
          <w:tab w:val="left" w:pos="1021"/>
          <w:tab w:val="left" w:pos="1020"/>
          <w:tab w:val="left" w:pos="1021"/>
        </w:tabs>
      </w:pPr>
      <w:r>
        <w:t xml:space="preserve">Assignment </w:t>
      </w:r>
    </w:p>
    <w:p w14:paraId="00C52852" w14:textId="77777777" w:rsidR="008722AE" w:rsidRDefault="00396FCB">
      <w:pPr>
        <w:pStyle w:val="Heading2"/>
        <w:numPr>
          <w:ilvl w:val="1"/>
          <w:numId w:val="2"/>
        </w:numPr>
        <w:ind w:left="90" w:firstLine="0"/>
      </w:pPr>
      <w:r>
        <w:t xml:space="preserve">Company may assign this Agreement in whole or in part without the consent of the MENU to an affiliate of Company. Any other assignment of this Agreement by either Party without the prior written consent of the other Party shall be void. </w:t>
      </w:r>
    </w:p>
    <w:p w14:paraId="26A87981" w14:textId="77777777" w:rsidR="008722AE" w:rsidRDefault="00396FCB">
      <w:pPr>
        <w:pStyle w:val="Heading1"/>
        <w:numPr>
          <w:ilvl w:val="0"/>
          <w:numId w:val="2"/>
        </w:numPr>
        <w:tabs>
          <w:tab w:val="left" w:pos="1020"/>
          <w:tab w:val="left" w:pos="1021"/>
          <w:tab w:val="left" w:pos="1020"/>
          <w:tab w:val="left" w:pos="1021"/>
          <w:tab w:val="left" w:pos="1020"/>
          <w:tab w:val="left" w:pos="1021"/>
          <w:tab w:val="left" w:pos="1020"/>
          <w:tab w:val="left" w:pos="1021"/>
          <w:tab w:val="left" w:pos="1020"/>
          <w:tab w:val="left" w:pos="1021"/>
        </w:tabs>
      </w:pPr>
      <w:r>
        <w:t>Waiver</w:t>
      </w:r>
    </w:p>
    <w:p w14:paraId="284A07AF" w14:textId="77777777" w:rsidR="008722AE" w:rsidRDefault="00396FCB">
      <w:pPr>
        <w:pStyle w:val="Heading2"/>
        <w:numPr>
          <w:ilvl w:val="1"/>
          <w:numId w:val="2"/>
        </w:numPr>
        <w:ind w:left="90" w:firstLine="0"/>
      </w:pPr>
      <w:r>
        <w:t xml:space="preserve">Failure of a Party at any time to require performance by the other Party of any provision hereof or to exercise any of its rights under this Agreement shall in no way affect the full right to require such performance or to exercise such right at any time thereafter. Waiver by a Party of a breach of any obligation hereunder will not constitute a waiver of any succeeding breach of the same obligation. </w:t>
      </w:r>
    </w:p>
    <w:p w14:paraId="3B157DEF" w14:textId="77777777" w:rsidR="008722AE" w:rsidRDefault="00396FCB">
      <w:pPr>
        <w:pStyle w:val="Heading1"/>
        <w:numPr>
          <w:ilvl w:val="0"/>
          <w:numId w:val="2"/>
        </w:numPr>
        <w:tabs>
          <w:tab w:val="left" w:pos="1020"/>
          <w:tab w:val="left" w:pos="1021"/>
          <w:tab w:val="left" w:pos="1020"/>
          <w:tab w:val="left" w:pos="1021"/>
          <w:tab w:val="left" w:pos="1020"/>
          <w:tab w:val="left" w:pos="1021"/>
          <w:tab w:val="left" w:pos="1020"/>
          <w:tab w:val="left" w:pos="1021"/>
          <w:tab w:val="left" w:pos="1020"/>
          <w:tab w:val="left" w:pos="1021"/>
        </w:tabs>
      </w:pPr>
      <w:r>
        <w:t>General provisions</w:t>
      </w:r>
    </w:p>
    <w:p w14:paraId="428D023E" w14:textId="77777777" w:rsidR="008722AE" w:rsidRDefault="00396FCB">
      <w:pPr>
        <w:pStyle w:val="Heading2"/>
        <w:numPr>
          <w:ilvl w:val="1"/>
          <w:numId w:val="2"/>
        </w:numPr>
        <w:ind w:left="0" w:firstLine="0"/>
      </w:pPr>
      <w:r>
        <w:t>This Agreement is governed by Swiss law under exclusion of private international law. Modifications to this Agreement, including this clause, require the written consent of both parties.</w:t>
      </w:r>
    </w:p>
    <w:p w14:paraId="369BE089" w14:textId="77777777" w:rsidR="008722AE" w:rsidRDefault="00396FCB">
      <w:pPr>
        <w:pStyle w:val="Heading2"/>
        <w:numPr>
          <w:ilvl w:val="1"/>
          <w:numId w:val="2"/>
        </w:numPr>
        <w:ind w:left="0" w:firstLine="0"/>
      </w:pPr>
      <w:r>
        <w:t>The parties submit all their disputes arising out of or in connection with this Agreement to the exclusive jurisdiction of the competent courts in Zug, Switzerland.</w:t>
      </w:r>
    </w:p>
    <w:p w14:paraId="1501C3B6" w14:textId="77777777" w:rsidR="008722AE" w:rsidRDefault="00396FCB">
      <w:pPr>
        <w:pStyle w:val="Heading2"/>
        <w:numPr>
          <w:ilvl w:val="1"/>
          <w:numId w:val="2"/>
        </w:numPr>
        <w:ind w:left="0" w:firstLine="0"/>
      </w:pPr>
      <w:r>
        <w:t>Any changes of this Agreement including all its Appendices shall be in writing; this shall also apply to a change of the written form requirement itself. </w:t>
      </w:r>
    </w:p>
    <w:p w14:paraId="7FBDCBB8" w14:textId="77777777" w:rsidR="008722AE" w:rsidRDefault="00396FCB">
      <w:pPr>
        <w:pStyle w:val="Heading2"/>
        <w:numPr>
          <w:ilvl w:val="1"/>
          <w:numId w:val="2"/>
        </w:numPr>
        <w:ind w:left="0" w:firstLine="0"/>
      </w:pPr>
      <w:r>
        <w:t xml:space="preserve">In the event a provision of this Agreement is or becomes invalid or unenforceable, the remaining provisions of this Agreement shall remain unaffected. The relevant provision shall be replaced by an appropriate valid and enforceable provision that comes closest to the Parties’ intentions. </w:t>
      </w:r>
    </w:p>
    <w:p w14:paraId="2F3D514C" w14:textId="77777777" w:rsidR="008722AE" w:rsidRDefault="00396FCB">
      <w:pPr>
        <w:pStyle w:val="Heading2"/>
        <w:numPr>
          <w:ilvl w:val="1"/>
          <w:numId w:val="2"/>
        </w:numPr>
        <w:ind w:left="0" w:firstLine="0"/>
      </w:pPr>
      <w:r>
        <w:t>The recitals to this Agreement shall form part of it and shall be read with this Agreement as one document. Headings of the Articles herein are for convenience only and are not to be construed as limitations to and/or interpretations of the scope of any Article.</w:t>
      </w:r>
    </w:p>
    <w:p w14:paraId="5E64A966" w14:textId="77777777" w:rsidR="008722AE" w:rsidRDefault="00396FCB">
      <w:pPr>
        <w:pStyle w:val="Heading2"/>
        <w:numPr>
          <w:ilvl w:val="1"/>
          <w:numId w:val="2"/>
        </w:numPr>
        <w:ind w:left="0" w:firstLine="0"/>
      </w:pPr>
      <w:r>
        <w:t xml:space="preserve">This Agreement may be executed in multiple counterparts, each of which when executed and delivered shall be deemed to be an original and all of which together shall constitute but one and the same agreement. A signed copy of </w:t>
      </w:r>
      <w:r>
        <w:rPr>
          <w:color w:val="000000"/>
        </w:rPr>
        <w:t>t</w:t>
      </w:r>
      <w:r>
        <w:t xml:space="preserve">his Agreement delivered by e-mail or other means of electronic transmission (including PDF) is deemed to have the same legal effect as delivery of an original signed copy of </w:t>
      </w:r>
      <w:r>
        <w:rPr>
          <w:color w:val="000000"/>
        </w:rPr>
        <w:t>t</w:t>
      </w:r>
      <w:r>
        <w:t>his Agreement.</w:t>
      </w:r>
    </w:p>
    <w:p w14:paraId="56C39142" w14:textId="77777777" w:rsidR="008722AE" w:rsidRDefault="00396FCB">
      <w:pPr>
        <w:pStyle w:val="Heading2"/>
        <w:numPr>
          <w:ilvl w:val="1"/>
          <w:numId w:val="2"/>
        </w:numPr>
        <w:ind w:left="0" w:firstLine="0"/>
      </w:pPr>
      <w:r>
        <w:t>The relationship between the Parties is that of independent contractors. Nothing contained in this Agreement shall be construed as creating any agency, partnership, joint venture, or other form of joint enterprise, employment, or fiduciary relationship between the parties, and neither party shall have authority to contract for or bind the other party in any manner whatsoever.</w:t>
      </w:r>
    </w:p>
    <w:p w14:paraId="27A87DB3" w14:textId="77777777" w:rsidR="008722AE" w:rsidRDefault="00396FCB">
      <w:pPr>
        <w:pStyle w:val="Heading2"/>
        <w:numPr>
          <w:ilvl w:val="1"/>
          <w:numId w:val="2"/>
        </w:numPr>
        <w:ind w:left="0" w:firstLine="0"/>
      </w:pPr>
      <w:r>
        <w:lastRenderedPageBreak/>
        <w:t xml:space="preserve">For purposes of this Agreement, (a) the words “include,” “includes” and “including” will be deemed to be followed by the words “without limitation”; (b) the word “or” is not exclusive; and (c) the words “herein,” “hereof,” “hereby,” “hereto” and “hereunder” refer to this Agreement as a whole. </w:t>
      </w:r>
    </w:p>
    <w:p w14:paraId="05EB0503" w14:textId="77777777" w:rsidR="008722AE" w:rsidRDefault="008722AE">
      <w:pPr>
        <w:spacing w:before="0" w:after="0"/>
        <w:jc w:val="center"/>
        <w:rPr>
          <w:rFonts w:ascii="Times New Roman" w:hAnsi="Times New Roman" w:cs="Times New Roman"/>
          <w:sz w:val="21"/>
          <w:szCs w:val="21"/>
        </w:rPr>
      </w:pPr>
    </w:p>
    <w:p w14:paraId="242BF46C" w14:textId="77777777" w:rsidR="008722AE" w:rsidRDefault="00396FCB">
      <w:pPr>
        <w:spacing w:before="0" w:after="0"/>
        <w:jc w:val="center"/>
        <w:rPr>
          <w:rFonts w:ascii="Times New Roman" w:hAnsi="Times New Roman" w:cs="Times New Roman"/>
          <w:sz w:val="21"/>
          <w:szCs w:val="21"/>
        </w:rPr>
      </w:pPr>
      <w:r>
        <w:rPr>
          <w:rFonts w:ascii="Times New Roman" w:hAnsi="Times New Roman" w:cs="Times New Roman"/>
          <w:sz w:val="21"/>
          <w:szCs w:val="21"/>
        </w:rPr>
        <w:t xml:space="preserve">- </w:t>
      </w:r>
      <w:r>
        <w:rPr>
          <w:rFonts w:ascii="Times New Roman" w:hAnsi="Times New Roman" w:cs="Times New Roman"/>
          <w:i/>
          <w:sz w:val="21"/>
          <w:szCs w:val="21"/>
        </w:rPr>
        <w:t xml:space="preserve">The signatures of this Agreement are on the next page </w:t>
      </w:r>
      <w:r>
        <w:rPr>
          <w:rFonts w:ascii="Times New Roman" w:hAnsi="Times New Roman" w:cs="Times New Roman"/>
          <w:sz w:val="21"/>
          <w:szCs w:val="21"/>
        </w:rPr>
        <w:t>-</w:t>
      </w:r>
    </w:p>
    <w:p w14:paraId="454C8CC8" w14:textId="77777777" w:rsidR="008722AE" w:rsidRDefault="00396FCB">
      <w:pPr>
        <w:ind w:left="877"/>
        <w:rPr>
          <w:rFonts w:ascii="Times New Roman" w:hAnsi="Times New Roman" w:cs="Times New Roman"/>
          <w:sz w:val="21"/>
          <w:szCs w:val="21"/>
        </w:rPr>
      </w:pPr>
      <w:r>
        <w:br w:type="page"/>
      </w:r>
    </w:p>
    <w:p w14:paraId="24C19B51" w14:textId="77777777" w:rsidR="008722AE" w:rsidRDefault="008722AE">
      <w:pPr>
        <w:ind w:left="877"/>
        <w:rPr>
          <w:rFonts w:ascii="Times New Roman" w:hAnsi="Times New Roman" w:cs="Times New Roman"/>
          <w:sz w:val="21"/>
          <w:szCs w:val="21"/>
        </w:rPr>
      </w:pPr>
    </w:p>
    <w:p w14:paraId="327030EB" w14:textId="77777777" w:rsidR="008722AE" w:rsidRDefault="00396FCB">
      <w:pPr>
        <w:spacing w:before="0" w:after="0"/>
      </w:pPr>
      <w:r>
        <w:rPr>
          <w:b/>
        </w:rPr>
        <w:t>IN WITNESS WHEREOF</w:t>
      </w:r>
      <w:r>
        <w:t>, the Parties hereby agree to be bound by the terms and conditions of this Agreement as of the Effective Date.</w:t>
      </w:r>
    </w:p>
    <w:p w14:paraId="15116D95" w14:textId="77777777" w:rsidR="008722AE" w:rsidRDefault="00396FCB">
      <w:pPr>
        <w:pStyle w:val="Heading2"/>
        <w:widowControl w:val="0"/>
        <w:spacing w:before="280" w:after="280" w:line="135" w:lineRule="auto"/>
        <w:ind w:left="0" w:right="0" w:firstLine="0"/>
        <w:rPr>
          <w:color w:val="404040"/>
        </w:rPr>
      </w:pPr>
      <w:bookmarkStart w:id="2" w:name="_heading=h.5i69askkvqsy" w:colFirst="0" w:colLast="0"/>
      <w:bookmarkEnd w:id="2"/>
      <w:r>
        <w:rPr>
          <w:color w:val="404040"/>
        </w:rPr>
        <w:t>a.</w:t>
      </w:r>
      <w:r>
        <w:rPr>
          <w:rFonts w:ascii="Times New Roman" w:hAnsi="Times New Roman" w:cs="Times New Roman"/>
          <w:color w:val="404040"/>
          <w:sz w:val="14"/>
          <w:szCs w:val="14"/>
        </w:rPr>
        <w:t xml:space="preserve">           </w:t>
      </w:r>
      <w:r>
        <w:rPr>
          <w:rFonts w:ascii="Times New Roman" w:hAnsi="Times New Roman" w:cs="Times New Roman"/>
          <w:color w:val="404040"/>
          <w:sz w:val="14"/>
          <w:szCs w:val="14"/>
        </w:rPr>
        <w:tab/>
      </w:r>
      <w:r>
        <w:rPr>
          <w:color w:val="404040"/>
        </w:rPr>
        <w:t xml:space="preserve"> </w:t>
      </w:r>
    </w:p>
    <w:tbl>
      <w:tblPr>
        <w:tblStyle w:val="af0"/>
        <w:tblW w:w="9275" w:type="dxa"/>
        <w:tblBorders>
          <w:top w:val="nil"/>
          <w:left w:val="nil"/>
          <w:bottom w:val="nil"/>
          <w:right w:val="nil"/>
          <w:insideH w:val="nil"/>
          <w:insideV w:val="nil"/>
        </w:tblBorders>
        <w:tblLayout w:type="fixed"/>
        <w:tblLook w:val="0600" w:firstRow="0" w:lastRow="0" w:firstColumn="0" w:lastColumn="0" w:noHBand="1" w:noVBand="1"/>
      </w:tblPr>
      <w:tblGrid>
        <w:gridCol w:w="4007"/>
        <w:gridCol w:w="987"/>
        <w:gridCol w:w="4281"/>
      </w:tblGrid>
      <w:tr w:rsidR="008722AE" w14:paraId="2541377D" w14:textId="77777777">
        <w:trPr>
          <w:trHeight w:val="1760"/>
        </w:trPr>
        <w:tc>
          <w:tcPr>
            <w:tcW w:w="4007" w:type="dxa"/>
            <w:tcBorders>
              <w:top w:val="nil"/>
              <w:left w:val="nil"/>
              <w:bottom w:val="nil"/>
              <w:right w:val="nil"/>
            </w:tcBorders>
            <w:tcMar>
              <w:top w:w="100" w:type="dxa"/>
              <w:left w:w="100" w:type="dxa"/>
              <w:bottom w:w="100" w:type="dxa"/>
              <w:right w:w="100" w:type="dxa"/>
            </w:tcMar>
          </w:tcPr>
          <w:p w14:paraId="58A5A82C" w14:textId="77777777" w:rsidR="008722AE" w:rsidRDefault="00396FCB">
            <w:pPr>
              <w:widowControl w:val="0"/>
              <w:rPr>
                <w:color w:val="404040"/>
              </w:rPr>
            </w:pPr>
            <w:r>
              <w:rPr>
                <w:color w:val="404040"/>
              </w:rPr>
              <w:t>For and on behalf</w:t>
            </w:r>
          </w:p>
          <w:p w14:paraId="66317EEB" w14:textId="77777777" w:rsidR="008722AE" w:rsidRDefault="00396FCB">
            <w:pPr>
              <w:widowControl w:val="0"/>
              <w:rPr>
                <w:b/>
                <w:color w:val="404040"/>
              </w:rPr>
            </w:pPr>
            <w:r>
              <w:rPr>
                <w:b/>
                <w:color w:val="404040"/>
              </w:rPr>
              <w:t>MENU Technologies AG</w:t>
            </w:r>
          </w:p>
          <w:p w14:paraId="13DEDC88" w14:textId="77777777" w:rsidR="008722AE" w:rsidRDefault="00396FCB">
            <w:pPr>
              <w:widowControl w:val="0"/>
              <w:rPr>
                <w:b/>
                <w:color w:val="404040"/>
              </w:rPr>
            </w:pPr>
            <w:r>
              <w:rPr>
                <w:b/>
                <w:color w:val="404040"/>
              </w:rPr>
              <w:t xml:space="preserve"> </w:t>
            </w:r>
          </w:p>
          <w:p w14:paraId="67BF1B1B" w14:textId="77777777" w:rsidR="008722AE" w:rsidRDefault="00396FCB">
            <w:pPr>
              <w:widowControl w:val="0"/>
              <w:rPr>
                <w:b/>
                <w:color w:val="404040"/>
              </w:rPr>
            </w:pPr>
            <w:r>
              <w:rPr>
                <w:b/>
                <w:color w:val="404040"/>
              </w:rPr>
              <w:t>Zug,</w:t>
            </w:r>
          </w:p>
        </w:tc>
        <w:tc>
          <w:tcPr>
            <w:tcW w:w="987" w:type="dxa"/>
            <w:tcBorders>
              <w:top w:val="nil"/>
              <w:left w:val="nil"/>
              <w:bottom w:val="nil"/>
              <w:right w:val="nil"/>
            </w:tcBorders>
            <w:tcMar>
              <w:top w:w="100" w:type="dxa"/>
              <w:left w:w="100" w:type="dxa"/>
              <w:bottom w:w="100" w:type="dxa"/>
              <w:right w:w="100" w:type="dxa"/>
            </w:tcMar>
          </w:tcPr>
          <w:p w14:paraId="297FC283" w14:textId="77777777" w:rsidR="008722AE" w:rsidRDefault="00396FCB">
            <w:pPr>
              <w:widowControl w:val="0"/>
              <w:rPr>
                <w:color w:val="404040"/>
              </w:rPr>
            </w:pPr>
            <w:r>
              <w:rPr>
                <w:color w:val="404040"/>
              </w:rPr>
              <w:t xml:space="preserve"> </w:t>
            </w:r>
          </w:p>
        </w:tc>
        <w:tc>
          <w:tcPr>
            <w:tcW w:w="4281" w:type="dxa"/>
            <w:tcBorders>
              <w:top w:val="nil"/>
              <w:left w:val="nil"/>
              <w:bottom w:val="nil"/>
              <w:right w:val="nil"/>
            </w:tcBorders>
            <w:tcMar>
              <w:top w:w="100" w:type="dxa"/>
              <w:left w:w="100" w:type="dxa"/>
              <w:bottom w:w="100" w:type="dxa"/>
              <w:right w:w="100" w:type="dxa"/>
            </w:tcMar>
          </w:tcPr>
          <w:p w14:paraId="2555DE0E" w14:textId="77777777" w:rsidR="008722AE" w:rsidRDefault="00396FCB">
            <w:pPr>
              <w:widowControl w:val="0"/>
              <w:rPr>
                <w:color w:val="404040"/>
              </w:rPr>
            </w:pPr>
            <w:r>
              <w:rPr>
                <w:color w:val="404040"/>
              </w:rPr>
              <w:t>For and on behalf</w:t>
            </w:r>
          </w:p>
          <w:p w14:paraId="6A3476FB" w14:textId="77777777" w:rsidR="008722AE" w:rsidRDefault="00396FCB">
            <w:pPr>
              <w:widowControl w:val="0"/>
              <w:rPr>
                <w:b/>
                <w:color w:val="404040"/>
              </w:rPr>
            </w:pPr>
            <w:r>
              <w:rPr>
                <w:b/>
                <w:color w:val="404040"/>
              </w:rPr>
              <w:t xml:space="preserve"> </w:t>
            </w:r>
          </w:p>
          <w:p w14:paraId="79C5685A" w14:textId="77777777" w:rsidR="008722AE" w:rsidRDefault="00396FCB">
            <w:pPr>
              <w:widowControl w:val="0"/>
              <w:rPr>
                <w:b/>
                <w:color w:val="404040"/>
                <w:highlight w:val="white"/>
              </w:rPr>
            </w:pPr>
            <w:r>
              <w:rPr>
                <w:b/>
                <w:color w:val="404040"/>
                <w:highlight w:val="white"/>
              </w:rPr>
              <w:t>,</w:t>
            </w:r>
          </w:p>
        </w:tc>
      </w:tr>
      <w:tr w:rsidR="008722AE" w14:paraId="6434DDAE" w14:textId="77777777">
        <w:trPr>
          <w:trHeight w:val="1475"/>
        </w:trPr>
        <w:tc>
          <w:tcPr>
            <w:tcW w:w="4007" w:type="dxa"/>
            <w:tcBorders>
              <w:top w:val="nil"/>
              <w:left w:val="nil"/>
              <w:bottom w:val="single" w:sz="8" w:space="0" w:color="000000"/>
              <w:right w:val="nil"/>
            </w:tcBorders>
            <w:tcMar>
              <w:top w:w="100" w:type="dxa"/>
              <w:left w:w="100" w:type="dxa"/>
              <w:bottom w:w="100" w:type="dxa"/>
              <w:right w:w="100" w:type="dxa"/>
            </w:tcMar>
          </w:tcPr>
          <w:p w14:paraId="51FA7460" w14:textId="77777777" w:rsidR="008722AE" w:rsidRDefault="00396FCB">
            <w:pPr>
              <w:widowControl w:val="0"/>
              <w:rPr>
                <w:color w:val="404040"/>
              </w:rPr>
            </w:pPr>
            <w:r>
              <w:rPr>
                <w:color w:val="404040"/>
              </w:rPr>
              <w:t xml:space="preserve"> </w:t>
            </w:r>
          </w:p>
        </w:tc>
        <w:tc>
          <w:tcPr>
            <w:tcW w:w="987" w:type="dxa"/>
            <w:tcBorders>
              <w:top w:val="nil"/>
              <w:left w:val="nil"/>
              <w:bottom w:val="nil"/>
              <w:right w:val="nil"/>
            </w:tcBorders>
            <w:tcMar>
              <w:top w:w="100" w:type="dxa"/>
              <w:left w:w="100" w:type="dxa"/>
              <w:bottom w:w="100" w:type="dxa"/>
              <w:right w:w="100" w:type="dxa"/>
            </w:tcMar>
          </w:tcPr>
          <w:p w14:paraId="104F6909" w14:textId="77777777" w:rsidR="008722AE" w:rsidRDefault="00396FCB">
            <w:pPr>
              <w:widowControl w:val="0"/>
              <w:rPr>
                <w:color w:val="404040"/>
              </w:rPr>
            </w:pPr>
            <w:r>
              <w:rPr>
                <w:color w:val="404040"/>
              </w:rPr>
              <w:t xml:space="preserve"> </w:t>
            </w:r>
          </w:p>
        </w:tc>
        <w:tc>
          <w:tcPr>
            <w:tcW w:w="4281" w:type="dxa"/>
            <w:tcBorders>
              <w:top w:val="nil"/>
              <w:left w:val="nil"/>
              <w:bottom w:val="single" w:sz="8" w:space="0" w:color="000000"/>
              <w:right w:val="nil"/>
            </w:tcBorders>
            <w:tcMar>
              <w:top w:w="100" w:type="dxa"/>
              <w:left w:w="100" w:type="dxa"/>
              <w:bottom w:w="100" w:type="dxa"/>
              <w:right w:w="100" w:type="dxa"/>
            </w:tcMar>
          </w:tcPr>
          <w:p w14:paraId="517D2FCC" w14:textId="77777777" w:rsidR="008722AE" w:rsidRDefault="00396FCB">
            <w:pPr>
              <w:widowControl w:val="0"/>
              <w:rPr>
                <w:color w:val="404040"/>
              </w:rPr>
            </w:pPr>
            <w:r>
              <w:rPr>
                <w:color w:val="404040"/>
              </w:rPr>
              <w:t xml:space="preserve"> </w:t>
            </w:r>
          </w:p>
          <w:p w14:paraId="4A9F816C" w14:textId="77777777" w:rsidR="008722AE" w:rsidRDefault="00396FCB">
            <w:pPr>
              <w:widowControl w:val="0"/>
              <w:rPr>
                <w:color w:val="404040"/>
              </w:rPr>
            </w:pPr>
            <w:r>
              <w:rPr>
                <w:color w:val="404040"/>
              </w:rPr>
              <w:t xml:space="preserve"> </w:t>
            </w:r>
          </w:p>
        </w:tc>
      </w:tr>
      <w:tr w:rsidR="008722AE" w14:paraId="65978FE1" w14:textId="77777777">
        <w:trPr>
          <w:trHeight w:val="665"/>
        </w:trPr>
        <w:tc>
          <w:tcPr>
            <w:tcW w:w="4007" w:type="dxa"/>
            <w:tcBorders>
              <w:top w:val="nil"/>
              <w:left w:val="nil"/>
              <w:bottom w:val="nil"/>
              <w:right w:val="nil"/>
            </w:tcBorders>
            <w:tcMar>
              <w:top w:w="100" w:type="dxa"/>
              <w:left w:w="100" w:type="dxa"/>
              <w:bottom w:w="100" w:type="dxa"/>
              <w:right w:w="100" w:type="dxa"/>
            </w:tcMar>
          </w:tcPr>
          <w:p w14:paraId="5B29470F" w14:textId="7F6E1657" w:rsidR="008722AE" w:rsidRDefault="008722AE">
            <w:pPr>
              <w:widowControl w:val="0"/>
              <w:rPr>
                <w:color w:val="404040"/>
              </w:rPr>
            </w:pPr>
          </w:p>
        </w:tc>
        <w:tc>
          <w:tcPr>
            <w:tcW w:w="987" w:type="dxa"/>
            <w:tcBorders>
              <w:top w:val="nil"/>
              <w:left w:val="nil"/>
              <w:bottom w:val="nil"/>
              <w:right w:val="nil"/>
            </w:tcBorders>
            <w:tcMar>
              <w:top w:w="100" w:type="dxa"/>
              <w:left w:w="100" w:type="dxa"/>
              <w:bottom w:w="100" w:type="dxa"/>
              <w:right w:w="100" w:type="dxa"/>
            </w:tcMar>
          </w:tcPr>
          <w:p w14:paraId="5997E509" w14:textId="77777777" w:rsidR="008722AE" w:rsidRDefault="00396FCB">
            <w:pPr>
              <w:widowControl w:val="0"/>
              <w:rPr>
                <w:color w:val="404040"/>
              </w:rPr>
            </w:pPr>
            <w:r>
              <w:rPr>
                <w:color w:val="404040"/>
              </w:rPr>
              <w:t xml:space="preserve"> </w:t>
            </w:r>
          </w:p>
        </w:tc>
        <w:tc>
          <w:tcPr>
            <w:tcW w:w="4281" w:type="dxa"/>
            <w:tcBorders>
              <w:top w:val="nil"/>
              <w:left w:val="nil"/>
              <w:bottom w:val="nil"/>
              <w:right w:val="nil"/>
            </w:tcBorders>
            <w:tcMar>
              <w:top w:w="100" w:type="dxa"/>
              <w:left w:w="100" w:type="dxa"/>
              <w:bottom w:w="100" w:type="dxa"/>
              <w:right w:w="100" w:type="dxa"/>
            </w:tcMar>
          </w:tcPr>
          <w:p w14:paraId="333A7B43" w14:textId="3D5BF766" w:rsidR="008722AE" w:rsidRDefault="008722AE">
            <w:pPr>
              <w:widowControl w:val="0"/>
              <w:rPr>
                <w:color w:val="404040"/>
                <w:highlight w:val="white"/>
              </w:rPr>
            </w:pPr>
          </w:p>
        </w:tc>
      </w:tr>
    </w:tbl>
    <w:p w14:paraId="0277A314" w14:textId="77777777" w:rsidR="008722AE" w:rsidRDefault="008722AE">
      <w:pPr>
        <w:widowControl w:val="0"/>
        <w:pBdr>
          <w:top w:val="nil"/>
          <w:left w:val="nil"/>
          <w:bottom w:val="nil"/>
          <w:right w:val="nil"/>
          <w:between w:val="nil"/>
        </w:pBdr>
        <w:rPr>
          <w:color w:val="404040"/>
          <w:sz w:val="16"/>
          <w:szCs w:val="16"/>
        </w:rPr>
      </w:pPr>
    </w:p>
    <w:sectPr w:rsidR="008722AE">
      <w:headerReference w:type="even" r:id="rId8"/>
      <w:headerReference w:type="default" r:id="rId9"/>
      <w:footerReference w:type="even" r:id="rId10"/>
      <w:footerReference w:type="default" r:id="rId11"/>
      <w:headerReference w:type="first" r:id="rId12"/>
      <w:footerReference w:type="first" r:id="rId13"/>
      <w:pgSz w:w="11910" w:h="16840"/>
      <w:pgMar w:top="1660" w:right="1280" w:bottom="720" w:left="1350" w:header="0" w:footer="1134"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351BDB6" w14:textId="77777777" w:rsidR="00841638" w:rsidRDefault="00841638">
      <w:pPr>
        <w:spacing w:before="0" w:after="0"/>
      </w:pPr>
      <w:r>
        <w:separator/>
      </w:r>
    </w:p>
  </w:endnote>
  <w:endnote w:type="continuationSeparator" w:id="0">
    <w:p w14:paraId="12B0C0B7" w14:textId="77777777" w:rsidR="00841638" w:rsidRDefault="00841638">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Open Sans">
    <w:altName w:val="Open Sans"/>
    <w:charset w:val="00"/>
    <w:family w:val="swiss"/>
    <w:pitch w:val="variable"/>
    <w:sig w:usb0="E00002EF" w:usb1="4000205B" w:usb2="00000028" w:usb3="00000000" w:csb0="0000019F" w:csb1="00000000"/>
  </w:font>
  <w:font w:name="Noto Sans Symbols">
    <w:charset w:val="00"/>
    <w:family w:val="auto"/>
    <w:pitch w:val="default"/>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Vrinda">
    <w:panose1 w:val="00000400000000000000"/>
    <w:charset w:val="00"/>
    <w:family w:val="swiss"/>
    <w:pitch w:val="variable"/>
    <w:sig w:usb0="00010003" w:usb1="00000000" w:usb2="00000000" w:usb3="00000000" w:csb0="00000001" w:csb1="00000000"/>
  </w:font>
  <w:font w:name="PMingLiU">
    <w:altName w:val="新細明體"/>
    <w:panose1 w:val="02010601000101010101"/>
    <w:charset w:val="88"/>
    <w:family w:val="roman"/>
    <w:pitch w:val="variable"/>
    <w:sig w:usb0="A00002FF" w:usb1="28CFFCFA" w:usb2="00000016" w:usb3="00000000" w:csb0="00100001" w:csb1="00000000"/>
  </w:font>
  <w:font w:name="Century Gothic">
    <w:panose1 w:val="020B0502020202020204"/>
    <w:charset w:val="00"/>
    <w:family w:val="swiss"/>
    <w:pitch w:val="variable"/>
    <w:sig w:usb0="00000287" w:usb1="00000000" w:usb2="00000000" w:usb3="00000000" w:csb0="0000009F" w:csb1="00000000"/>
  </w:font>
  <w:font w:name="Georgia">
    <w:panose1 w:val="02040502050405020303"/>
    <w:charset w:val="00"/>
    <w:family w:val="roman"/>
    <w:pitch w:val="variable"/>
    <w:sig w:usb0="00000287" w:usb1="00000000" w:usb2="00000000" w:usb3="00000000" w:csb0="0000009F" w:csb1="00000000"/>
  </w:font>
  <w:font w:name="Open Sans Light">
    <w:charset w:val="00"/>
    <w:family w:val="swiss"/>
    <w:pitch w:val="variable"/>
    <w:sig w:usb0="E00002EF" w:usb1="4000205B" w:usb2="00000028"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EEE93F" w14:textId="77777777" w:rsidR="008722AE" w:rsidRDefault="008722AE">
    <w:pPr>
      <w:widowControl w:val="0"/>
      <w:pBdr>
        <w:top w:val="nil"/>
        <w:left w:val="nil"/>
        <w:bottom w:val="nil"/>
        <w:right w:val="nil"/>
        <w:between w:val="nil"/>
      </w:pBdr>
      <w:tabs>
        <w:tab w:val="center" w:pos="4513"/>
        <w:tab w:val="right" w:pos="9026"/>
      </w:tabs>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D478DD" w14:textId="77777777" w:rsidR="008722AE" w:rsidRDefault="008722AE">
    <w:pPr>
      <w:spacing w:before="0" w:after="0"/>
      <w:jc w:val="right"/>
      <w:rPr>
        <w:color w:val="FF0066"/>
      </w:rPr>
    </w:pPr>
  </w:p>
  <w:p w14:paraId="6E2D7E4A" w14:textId="77777777" w:rsidR="008722AE" w:rsidRDefault="00396FCB">
    <w:pPr>
      <w:spacing w:before="0" w:after="0"/>
      <w:jc w:val="right"/>
    </w:pPr>
    <w:r>
      <w:t xml:space="preserve">Page </w:t>
    </w:r>
    <w:r>
      <w:fldChar w:fldCharType="begin"/>
    </w:r>
    <w:r>
      <w:instrText>PAGE</w:instrText>
    </w:r>
    <w:r>
      <w:fldChar w:fldCharType="separate"/>
    </w:r>
    <w:r w:rsidR="00557C12">
      <w:rPr>
        <w:noProof/>
      </w:rPr>
      <w:t>2</w:t>
    </w:r>
    <w:r>
      <w:fldChar w:fldCharType="end"/>
    </w:r>
    <w:r>
      <w:t xml:space="preserve"> / </w:t>
    </w:r>
    <w:r>
      <w:fldChar w:fldCharType="begin"/>
    </w:r>
    <w:r>
      <w:instrText>NUMPAGES</w:instrText>
    </w:r>
    <w:r>
      <w:fldChar w:fldCharType="separate"/>
    </w:r>
    <w:r w:rsidR="00557C12">
      <w:rPr>
        <w:noProof/>
      </w:rPr>
      <w:t>3</w:t>
    </w:r>
    <w:r>
      <w:fldChar w:fldCharType="end"/>
    </w:r>
  </w:p>
  <w:p w14:paraId="6252CC13" w14:textId="01ECC75C" w:rsidR="008722AE" w:rsidRDefault="008722AE">
    <w:pPr>
      <w:spacing w:before="0" w:after="0"/>
      <w:jc w:val="left"/>
      <w:rPr>
        <w:i/>
        <w:sz w:val="16"/>
        <w:szCs w:val="16"/>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03EE78" w14:textId="77777777" w:rsidR="008722AE" w:rsidRDefault="00396FCB">
    <w:pPr>
      <w:ind w:right="15"/>
      <w:jc w:val="center"/>
    </w:pPr>
    <w:r>
      <w:rPr>
        <w:noProof/>
      </w:rPr>
      <mc:AlternateContent>
        <mc:Choice Requires="wps">
          <w:drawing>
            <wp:anchor distT="0" distB="0" distL="114300" distR="114300" simplePos="0" relativeHeight="251658240" behindDoc="0" locked="0" layoutInCell="1" hidden="0" allowOverlap="1" wp14:anchorId="351BB990" wp14:editId="03AAA22E">
              <wp:simplePos x="0" y="0"/>
              <wp:positionH relativeFrom="column">
                <wp:posOffset>1</wp:posOffset>
              </wp:positionH>
              <wp:positionV relativeFrom="paragraph">
                <wp:posOffset>127000</wp:posOffset>
              </wp:positionV>
              <wp:extent cx="5740400" cy="68792"/>
              <wp:effectExtent l="0" t="0" r="0" b="0"/>
              <wp:wrapNone/>
              <wp:docPr id="4" name="Rectangle 4"/>
              <wp:cNvGraphicFramePr/>
              <a:graphic xmlns:a="http://schemas.openxmlformats.org/drawingml/2006/main">
                <a:graphicData uri="http://schemas.microsoft.com/office/word/2010/wordprocessingShape">
                  <wps:wsp>
                    <wps:cNvSpPr/>
                    <wps:spPr>
                      <a:xfrm>
                        <a:off x="2480563" y="3750367"/>
                        <a:ext cx="5730875" cy="59267"/>
                      </a:xfrm>
                      <a:prstGeom prst="rect">
                        <a:avLst/>
                      </a:prstGeom>
                      <a:gradFill>
                        <a:gsLst>
                          <a:gs pos="0">
                            <a:srgbClr val="FF6600"/>
                          </a:gs>
                          <a:gs pos="100000">
                            <a:srgbClr val="5E3C96"/>
                          </a:gs>
                        </a:gsLst>
                        <a:lin ang="0" scaled="0"/>
                      </a:gradFill>
                      <a:ln>
                        <a:noFill/>
                      </a:ln>
                    </wps:spPr>
                    <wps:txbx>
                      <w:txbxContent>
                        <w:p w14:paraId="441C8285" w14:textId="77777777" w:rsidR="008722AE" w:rsidRDefault="008722AE">
                          <w:pPr>
                            <w:spacing w:before="0" w:after="0"/>
                            <w:jc w:val="left"/>
                            <w:textDirection w:val="btLr"/>
                          </w:pPr>
                        </w:p>
                      </w:txbxContent>
                    </wps:txbx>
                    <wps:bodyPr spcFirstLastPara="1" wrap="square" lIns="91425" tIns="91425" rIns="91425" bIns="91425" anchor="ctr" anchorCtr="0">
                      <a:noAutofit/>
                    </wps:bodyPr>
                  </wps:wsp>
                </a:graphicData>
              </a:graphic>
            </wp:anchor>
          </w:drawing>
        </mc:Choice>
        <mc:Fallback>
          <w:pict>
            <v:rect w14:anchorId="351BB990" id="Rectangle 4" o:spid="_x0000_s1026" style="position:absolute;left:0;text-align:left;margin-left:0;margin-top:10pt;width:452pt;height:5.4pt;z-index:25165824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" fillcolor="#f60" stroked="f">
              <v:fill color2="#5e3c96" angle="90" focus="100%" type="gradient">
                <o:fill v:ext="view" type="gradientUnscaled"/>
              </v:fill>
              <v:textbox inset="2.53958mm,2.53958mm,2.53958mm,2.53958mm">
                <w:txbxContent>
                  <w:p w14:paraId="441C8285" w14:textId="77777777" w:rsidR="008722AE" w:rsidRDefault="008722AE">
                    <w:pPr>
                      <w:spacing w:before="0" w:after="0"/>
                      <w:jc w:val="left"/>
                      <w:textDirection w:val="btLr"/>
                    </w:pPr>
                  </w:p>
                </w:txbxContent>
              </v:textbox>
            </v:rect>
          </w:pict>
        </mc:Fallback>
      </mc:AlternateContent>
    </w:r>
  </w:p>
  <w:p w14:paraId="52E02E82" w14:textId="77777777" w:rsidR="008722AE" w:rsidRPr="00557C12" w:rsidRDefault="00396FCB">
    <w:pPr>
      <w:ind w:right="15"/>
      <w:jc w:val="center"/>
      <w:rPr>
        <w:lang w:val="de-CH"/>
      </w:rPr>
    </w:pPr>
    <w:r w:rsidRPr="00557C12">
      <w:rPr>
        <w:lang w:val="de-CH"/>
      </w:rPr>
      <w:t xml:space="preserve">MENU Technologies AG | Zählerweg 5, CH-6300 Zug, Switzerland | www.menu.app | Page </w:t>
    </w:r>
    <w:r>
      <w:fldChar w:fldCharType="begin"/>
    </w:r>
    <w:r w:rsidRPr="00557C12">
      <w:rPr>
        <w:lang w:val="de-CH"/>
      </w:rPr>
      <w:instrText>PAGE</w:instrText>
    </w:r>
    <w:r>
      <w:fldChar w:fldCharType="separate"/>
    </w:r>
    <w:r w:rsidR="00557C12" w:rsidRPr="00557C12">
      <w:rPr>
        <w:noProof/>
        <w:lang w:val="de-CH"/>
      </w:rPr>
      <w:t>1</w:t>
    </w:r>
    <w:r>
      <w:fldChar w:fldCharType="end"/>
    </w:r>
    <w:r w:rsidRPr="00557C12">
      <w:rPr>
        <w:lang w:val="de-CH"/>
      </w:rPr>
      <w:t xml:space="preserve"> / </w:t>
    </w:r>
    <w:r>
      <w:fldChar w:fldCharType="begin"/>
    </w:r>
    <w:r w:rsidRPr="00557C12">
      <w:rPr>
        <w:lang w:val="de-CH"/>
      </w:rPr>
      <w:instrText>NUMPAGES</w:instrText>
    </w:r>
    <w:r>
      <w:fldChar w:fldCharType="separate"/>
    </w:r>
    <w:r w:rsidR="00557C12" w:rsidRPr="00557C12">
      <w:rPr>
        <w:noProof/>
        <w:lang w:val="de-CH"/>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449146E" w14:textId="77777777" w:rsidR="00841638" w:rsidRDefault="00841638">
      <w:pPr>
        <w:spacing w:before="0" w:after="0"/>
      </w:pPr>
      <w:r>
        <w:separator/>
      </w:r>
    </w:p>
  </w:footnote>
  <w:footnote w:type="continuationSeparator" w:id="0">
    <w:p w14:paraId="2C34638B" w14:textId="77777777" w:rsidR="00841638" w:rsidRDefault="00841638">
      <w:pPr>
        <w:spacing w:before="0"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2BBF9C" w14:textId="77777777" w:rsidR="008722AE" w:rsidRDefault="008722AE">
    <w:pPr>
      <w:widowControl w:val="0"/>
      <w:pBdr>
        <w:top w:val="nil"/>
        <w:left w:val="nil"/>
        <w:bottom w:val="nil"/>
        <w:right w:val="nil"/>
        <w:between w:val="nil"/>
      </w:pBdr>
      <w:tabs>
        <w:tab w:val="center" w:pos="4513"/>
        <w:tab w:val="right" w:pos="9026"/>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CD7C73" w14:textId="77777777" w:rsidR="008722AE" w:rsidRDefault="008722AE"/>
  <w:p w14:paraId="5F2C2596" w14:textId="77777777" w:rsidR="008722AE" w:rsidRDefault="008722AE"/>
  <w:p w14:paraId="3BAAD537" w14:textId="77777777" w:rsidR="008722AE" w:rsidRDefault="00396FCB">
    <w:r>
      <w:rPr>
        <w:rFonts w:ascii="Open Sans Light" w:eastAsia="Open Sans Light" w:hAnsi="Open Sans Light" w:cs="Open Sans Light"/>
        <w:noProof/>
        <w:color w:val="595959"/>
        <w:sz w:val="16"/>
        <w:szCs w:val="16"/>
      </w:rPr>
      <w:drawing>
        <wp:inline distT="0" distB="0" distL="0" distR="0" wp14:anchorId="16E97E94" wp14:editId="16A9B0C3">
          <wp:extent cx="1536479" cy="562434"/>
          <wp:effectExtent l="0" t="0" r="0" b="0"/>
          <wp:docPr id="5"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
                  <a:srcRect/>
                  <a:stretch>
                    <a:fillRect/>
                  </a:stretch>
                </pic:blipFill>
                <pic:spPr>
                  <a:xfrm>
                    <a:off x="0" y="0"/>
                    <a:ext cx="1536479" cy="562434"/>
                  </a:xfrm>
                  <a:prstGeom prst="rect">
                    <a:avLst/>
                  </a:prstGeom>
                  <a:ln/>
                </pic:spPr>
              </pic:pic>
            </a:graphicData>
          </a:graphic>
        </wp:inline>
      </w:drawing>
    </w:r>
  </w:p>
  <w:p w14:paraId="23C28423" w14:textId="77777777" w:rsidR="008722AE" w:rsidRDefault="008722AE"/>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177BF7" w14:textId="77777777" w:rsidR="008722AE" w:rsidRDefault="008722AE">
    <w:pPr>
      <w:widowControl w:val="0"/>
      <w:pBdr>
        <w:top w:val="nil"/>
        <w:left w:val="nil"/>
        <w:bottom w:val="nil"/>
        <w:right w:val="nil"/>
        <w:between w:val="nil"/>
      </w:pBdr>
      <w:tabs>
        <w:tab w:val="center" w:pos="4513"/>
        <w:tab w:val="right" w:pos="9026"/>
      </w:tabs>
      <w:rPr>
        <w:color w:val="000000"/>
      </w:rPr>
    </w:pPr>
  </w:p>
  <w:p w14:paraId="52FB9F00" w14:textId="77777777" w:rsidR="008722AE" w:rsidRDefault="008722AE">
    <w:pPr>
      <w:widowControl w:val="0"/>
      <w:pBdr>
        <w:top w:val="nil"/>
        <w:left w:val="nil"/>
        <w:bottom w:val="nil"/>
        <w:right w:val="nil"/>
        <w:between w:val="nil"/>
      </w:pBdr>
      <w:tabs>
        <w:tab w:val="center" w:pos="4513"/>
        <w:tab w:val="right" w:pos="9026"/>
      </w:tabs>
      <w:rPr>
        <w:color w:val="000000"/>
      </w:rPr>
    </w:pPr>
  </w:p>
  <w:tbl>
    <w:tblPr>
      <w:tblStyle w:val="af1"/>
      <w:tblW w:w="9270" w:type="dxa"/>
      <w:tblBorders>
        <w:top w:val="nil"/>
        <w:left w:val="nil"/>
        <w:bottom w:val="nil"/>
        <w:right w:val="nil"/>
        <w:insideH w:val="nil"/>
        <w:insideV w:val="nil"/>
      </w:tblBorders>
      <w:tblLayout w:type="fixed"/>
      <w:tblLook w:val="0400" w:firstRow="0" w:lastRow="0" w:firstColumn="0" w:lastColumn="0" w:noHBand="0" w:noVBand="1"/>
    </w:tblPr>
    <w:tblGrid>
      <w:gridCol w:w="3256"/>
      <w:gridCol w:w="6014"/>
    </w:tblGrid>
    <w:tr w:rsidR="008722AE" w14:paraId="7F0FC4AA" w14:textId="77777777">
      <w:tc>
        <w:tcPr>
          <w:tcW w:w="3256" w:type="dxa"/>
        </w:tcPr>
        <w:p w14:paraId="1A0FAEE6" w14:textId="77777777" w:rsidR="008722AE" w:rsidRDefault="00396FCB">
          <w:pPr>
            <w:widowControl w:val="0"/>
            <w:tabs>
              <w:tab w:val="center" w:pos="4513"/>
              <w:tab w:val="right" w:pos="9026"/>
            </w:tabs>
            <w:rPr>
              <w:color w:val="000000"/>
            </w:rPr>
          </w:pPr>
          <w:r>
            <w:rPr>
              <w:rFonts w:ascii="Open Sans Light" w:eastAsia="Open Sans Light" w:hAnsi="Open Sans Light" w:cs="Open Sans Light"/>
              <w:noProof/>
              <w:color w:val="595959"/>
              <w:sz w:val="16"/>
              <w:szCs w:val="16"/>
            </w:rPr>
            <w:drawing>
              <wp:inline distT="0" distB="0" distL="0" distR="0" wp14:anchorId="06EED6C6" wp14:editId="13B22AAC">
                <wp:extent cx="1536479" cy="562434"/>
                <wp:effectExtent l="0" t="0" r="0" b="0"/>
                <wp:docPr id="6"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
                        <a:srcRect/>
                        <a:stretch>
                          <a:fillRect/>
                        </a:stretch>
                      </pic:blipFill>
                      <pic:spPr>
                        <a:xfrm>
                          <a:off x="0" y="0"/>
                          <a:ext cx="1536479" cy="562434"/>
                        </a:xfrm>
                        <a:prstGeom prst="rect">
                          <a:avLst/>
                        </a:prstGeom>
                        <a:ln/>
                      </pic:spPr>
                    </pic:pic>
                  </a:graphicData>
                </a:graphic>
              </wp:inline>
            </w:drawing>
          </w:r>
        </w:p>
      </w:tc>
      <w:tc>
        <w:tcPr>
          <w:tcW w:w="6014" w:type="dxa"/>
        </w:tcPr>
        <w:p w14:paraId="66B5769C" w14:textId="77777777" w:rsidR="008722AE" w:rsidRDefault="00396FCB">
          <w:pPr>
            <w:jc w:val="right"/>
            <w:rPr>
              <w:sz w:val="28"/>
              <w:szCs w:val="28"/>
            </w:rPr>
          </w:pPr>
          <w:r>
            <w:rPr>
              <w:color w:val="7F7F7F"/>
              <w:sz w:val="28"/>
              <w:szCs w:val="28"/>
            </w:rPr>
            <w:t>Mutual Non-Disclosure Agreement</w:t>
          </w:r>
        </w:p>
        <w:p w14:paraId="5A941C55" w14:textId="7E5D7228" w:rsidR="008722AE" w:rsidRDefault="00396FCB">
          <w:pPr>
            <w:spacing w:before="0" w:after="0"/>
            <w:jc w:val="right"/>
            <w:rPr>
              <w:i/>
              <w:sz w:val="16"/>
              <w:szCs w:val="16"/>
            </w:rPr>
          </w:pPr>
          <w:r>
            <w:rPr>
              <w:i/>
              <w:color w:val="808080"/>
              <w:sz w:val="16"/>
              <w:szCs w:val="16"/>
            </w:rPr>
            <w:t xml:space="preserve"> </w:t>
          </w:r>
        </w:p>
      </w:tc>
    </w:tr>
  </w:tbl>
  <w:p w14:paraId="1AF89B28" w14:textId="77777777" w:rsidR="008722AE" w:rsidRDefault="008722AE">
    <w:pPr>
      <w:widowControl w:val="0"/>
      <w:pBdr>
        <w:top w:val="nil"/>
        <w:left w:val="nil"/>
        <w:bottom w:val="nil"/>
        <w:right w:val="nil"/>
        <w:between w:val="nil"/>
      </w:pBdr>
      <w:tabs>
        <w:tab w:val="center" w:pos="4513"/>
        <w:tab w:val="right" w:pos="9026"/>
      </w:tabs>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8156779"/>
    <w:multiLevelType w:val="multilevel"/>
    <w:tmpl w:val="929864D6"/>
    <w:lvl w:ilvl="0">
      <w:start w:val="1"/>
      <w:numFmt w:val="decimal"/>
      <w:pStyle w:val="Appendix"/>
      <w:lvlText w:val="%1"/>
      <w:lvlJc w:val="left"/>
      <w:pPr>
        <w:ind w:left="733" w:hanging="432"/>
      </w:pPr>
      <w:rPr>
        <w:rFonts w:ascii="Open Sans" w:eastAsia="Open Sans" w:hAnsi="Open Sans" w:cs="Open Sans"/>
        <w:b/>
        <w:i w:val="0"/>
        <w:sz w:val="22"/>
        <w:szCs w:val="22"/>
      </w:rPr>
    </w:lvl>
    <w:lvl w:ilvl="1">
      <w:start w:val="1"/>
      <w:numFmt w:val="decimal"/>
      <w:lvlText w:val="%1.%2"/>
      <w:lvlJc w:val="left"/>
      <w:pPr>
        <w:ind w:left="877" w:hanging="576"/>
      </w:pPr>
      <w:rPr>
        <w:rFonts w:ascii="Open Sans" w:eastAsia="Open Sans" w:hAnsi="Open Sans" w:cs="Open Sans"/>
        <w:sz w:val="18"/>
        <w:szCs w:val="18"/>
      </w:rPr>
    </w:lvl>
    <w:lvl w:ilvl="2">
      <w:start w:val="1"/>
      <w:numFmt w:val="bullet"/>
      <w:lvlText w:val="▪"/>
      <w:lvlJc w:val="left"/>
      <w:pPr>
        <w:ind w:left="1021" w:hanging="360"/>
      </w:pPr>
      <w:rPr>
        <w:rFonts w:ascii="Noto Sans Symbols" w:eastAsia="Noto Sans Symbols" w:hAnsi="Noto Sans Symbols" w:cs="Noto Sans Symbols"/>
        <w:color w:val="FF0000"/>
        <w:sz w:val="22"/>
        <w:szCs w:val="22"/>
      </w:rPr>
    </w:lvl>
    <w:lvl w:ilvl="3">
      <w:start w:val="1"/>
      <w:numFmt w:val="bullet"/>
      <w:lvlText w:val="•"/>
      <w:lvlJc w:val="left"/>
      <w:pPr>
        <w:ind w:left="1021" w:hanging="360"/>
      </w:pPr>
    </w:lvl>
    <w:lvl w:ilvl="4">
      <w:start w:val="1"/>
      <w:numFmt w:val="bullet"/>
      <w:lvlText w:val="•"/>
      <w:lvlJc w:val="left"/>
      <w:pPr>
        <w:ind w:left="1161" w:hanging="360"/>
      </w:pPr>
    </w:lvl>
    <w:lvl w:ilvl="5">
      <w:start w:val="1"/>
      <w:numFmt w:val="bullet"/>
      <w:lvlText w:val="•"/>
      <w:lvlJc w:val="left"/>
      <w:pPr>
        <w:ind w:left="2642" w:hanging="360"/>
      </w:pPr>
    </w:lvl>
    <w:lvl w:ilvl="6">
      <w:start w:val="1"/>
      <w:numFmt w:val="bullet"/>
      <w:lvlText w:val="•"/>
      <w:lvlJc w:val="left"/>
      <w:pPr>
        <w:ind w:left="4123" w:hanging="360"/>
      </w:pPr>
    </w:lvl>
    <w:lvl w:ilvl="7">
      <w:start w:val="1"/>
      <w:numFmt w:val="bullet"/>
      <w:lvlText w:val="•"/>
      <w:lvlJc w:val="left"/>
      <w:pPr>
        <w:ind w:left="5604" w:hanging="360"/>
      </w:pPr>
    </w:lvl>
    <w:lvl w:ilvl="8">
      <w:start w:val="1"/>
      <w:numFmt w:val="bullet"/>
      <w:lvlText w:val="•"/>
      <w:lvlJc w:val="left"/>
      <w:pPr>
        <w:ind w:left="7085" w:hanging="360"/>
      </w:pPr>
    </w:lvl>
  </w:abstractNum>
  <w:abstractNum w:abstractNumId="1" w15:restartNumberingAfterBreak="0">
    <w:nsid w:val="31CB03EE"/>
    <w:multiLevelType w:val="multilevel"/>
    <w:tmpl w:val="E0AEECEE"/>
    <w:lvl w:ilvl="0">
      <w:start w:val="1"/>
      <w:numFmt w:val="decimal"/>
      <w:pStyle w:val="Bullet"/>
      <w:lvlText w:val="%1."/>
      <w:lvlJc w:val="left"/>
      <w:pPr>
        <w:tabs>
          <w:tab w:val="num" w:pos="720"/>
        </w:tabs>
        <w:ind w:left="720" w:hanging="720"/>
      </w:pPr>
    </w:lvl>
    <w:lvl w:ilvl="1">
      <w:start w:val="1"/>
      <w:numFmt w:val="decimal"/>
      <w:pStyle w:val="2"/>
      <w:lvlText w:val="%2."/>
      <w:lvlJc w:val="left"/>
      <w:pPr>
        <w:tabs>
          <w:tab w:val="num" w:pos="1440"/>
        </w:tabs>
        <w:ind w:left="1440" w:hanging="720"/>
      </w:pPr>
    </w:lvl>
    <w:lvl w:ilvl="2">
      <w:start w:val="1"/>
      <w:numFmt w:val="decimal"/>
      <w:pStyle w:val="3"/>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5F866860"/>
    <w:multiLevelType w:val="multilevel"/>
    <w:tmpl w:val="12C0A16E"/>
    <w:lvl w:ilvl="0">
      <w:start w:val="1"/>
      <w:numFmt w:val="lowerRoman"/>
      <w:pStyle w:val="Heading1"/>
      <w:lvlText w:val="%1."/>
      <w:lvlJc w:val="right"/>
      <w:pPr>
        <w:ind w:left="720" w:hanging="360"/>
      </w:pPr>
    </w:lvl>
    <w:lvl w:ilvl="1">
      <w:start w:val="1"/>
      <w:numFmt w:val="lowerLetter"/>
      <w:pStyle w:val="Heading2"/>
      <w:lvlText w:val="%2."/>
      <w:lvlJc w:val="left"/>
      <w:pPr>
        <w:ind w:left="1440" w:hanging="360"/>
      </w:pPr>
    </w:lvl>
    <w:lvl w:ilvl="2">
      <w:start w:val="1"/>
      <w:numFmt w:val="lowerRoman"/>
      <w:pStyle w:val="ListParagraph"/>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2"/>
  </w:num>
  <w:num w:numId="2">
    <w:abstractNumId w:val="0"/>
  </w:num>
  <w:num w:numId="3">
    <w:abstractNumId w:val="1"/>
  </w:num>
  <w:num w:numId="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722AE"/>
    <w:rsid w:val="00221D70"/>
    <w:rsid w:val="00396FCB"/>
    <w:rsid w:val="00557C12"/>
    <w:rsid w:val="00841638"/>
    <w:rsid w:val="008722AE"/>
    <w:rsid w:val="009D22F8"/>
    <w:rsid w:val="00C546A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763E54"/>
  <w15:docId w15:val="{D9333192-9098-FF49-BF6B-843D2DD42F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Open Sans" w:eastAsia="Open Sans" w:hAnsi="Open Sans" w:cs="Open Sans"/>
        <w:sz w:val="18"/>
        <w:szCs w:val="18"/>
        <w:lang w:val="en-US" w:eastAsia="en-GB" w:bidi="ar-SA"/>
      </w:rPr>
    </w:rPrDefault>
    <w:pPrDefault>
      <w:pPr>
        <w:spacing w:before="60" w:after="120"/>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E2534"/>
    <w:rPr>
      <w:rFonts w:eastAsia="Times New Roman"/>
    </w:rPr>
  </w:style>
  <w:style w:type="paragraph" w:styleId="Heading1">
    <w:name w:val="heading 1"/>
    <w:basedOn w:val="ListParagraph"/>
    <w:uiPriority w:val="9"/>
    <w:qFormat/>
    <w:rsid w:val="004C40BC"/>
    <w:pPr>
      <w:numPr>
        <w:ilvl w:val="0"/>
      </w:numPr>
      <w:tabs>
        <w:tab w:val="clear" w:pos="1020"/>
        <w:tab w:val="clear" w:pos="1021"/>
      </w:tabs>
      <w:spacing w:before="240"/>
      <w:ind w:left="426" w:right="-42"/>
      <w:outlineLvl w:val="0"/>
    </w:pPr>
    <w:rPr>
      <w:b/>
      <w:sz w:val="22"/>
    </w:rPr>
  </w:style>
  <w:style w:type="paragraph" w:styleId="Heading2">
    <w:name w:val="heading 2"/>
    <w:basedOn w:val="NormalWeb"/>
    <w:link w:val="Heading2Char"/>
    <w:uiPriority w:val="9"/>
    <w:unhideWhenUsed/>
    <w:qFormat/>
    <w:rsid w:val="004C40BC"/>
    <w:pPr>
      <w:numPr>
        <w:ilvl w:val="1"/>
        <w:numId w:val="1"/>
      </w:numPr>
      <w:spacing w:before="60" w:beforeAutospacing="0" w:after="120" w:afterAutospacing="0" w:line="259" w:lineRule="auto"/>
      <w:ind w:left="567" w:right="-42"/>
      <w:outlineLvl w:val="1"/>
    </w:pPr>
  </w:style>
  <w:style w:type="paragraph" w:styleId="Heading3">
    <w:name w:val="heading 3"/>
    <w:basedOn w:val="Normal"/>
    <w:uiPriority w:val="9"/>
    <w:semiHidden/>
    <w:unhideWhenUsed/>
    <w:qFormat/>
    <w:pPr>
      <w:widowControl w:val="0"/>
      <w:autoSpaceDE w:val="0"/>
      <w:autoSpaceDN w:val="0"/>
      <w:ind w:left="131" w:right="113"/>
      <w:outlineLvl w:val="2"/>
    </w:pPr>
    <w:rPr>
      <w:rFonts w:eastAsia="Arial" w:cs="Arial"/>
      <w:sz w:val="23"/>
      <w:szCs w:val="23"/>
      <w:lang w:eastAsia="en-US" w:bidi="en-US"/>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pPr>
    <w:rPr>
      <w:b/>
      <w:sz w:val="72"/>
      <w:szCs w:val="72"/>
    </w:rPr>
  </w:style>
  <w:style w:type="paragraph" w:styleId="TOC1">
    <w:name w:val="toc 1"/>
    <w:basedOn w:val="Normal"/>
    <w:uiPriority w:val="1"/>
    <w:qFormat/>
    <w:pPr>
      <w:widowControl w:val="0"/>
      <w:autoSpaceDE w:val="0"/>
      <w:autoSpaceDN w:val="0"/>
      <w:spacing w:before="101"/>
      <w:ind w:right="864"/>
      <w:jc w:val="right"/>
    </w:pPr>
    <w:rPr>
      <w:rFonts w:ascii="Segoe UI" w:eastAsia="Segoe UI" w:hAnsi="Segoe UI" w:cs="Segoe UI"/>
      <w:szCs w:val="22"/>
      <w:lang w:eastAsia="en-US" w:bidi="en-US"/>
    </w:rPr>
  </w:style>
  <w:style w:type="paragraph" w:styleId="BodyText">
    <w:name w:val="Body Text"/>
    <w:basedOn w:val="Normal"/>
    <w:uiPriority w:val="1"/>
    <w:qFormat/>
    <w:rsid w:val="00A9011F"/>
    <w:pPr>
      <w:widowControl w:val="0"/>
      <w:autoSpaceDE w:val="0"/>
      <w:autoSpaceDN w:val="0"/>
      <w:spacing w:before="120" w:line="276" w:lineRule="auto"/>
      <w:ind w:right="-42"/>
    </w:pPr>
    <w:rPr>
      <w:rFonts w:eastAsia="Arial" w:cs="Arial"/>
      <w:szCs w:val="22"/>
      <w:lang w:eastAsia="en-US" w:bidi="en-US"/>
    </w:rPr>
  </w:style>
  <w:style w:type="paragraph" w:styleId="ListParagraph">
    <w:name w:val="List Paragraph"/>
    <w:basedOn w:val="Normal"/>
    <w:link w:val="ListParagraphChar"/>
    <w:uiPriority w:val="34"/>
    <w:qFormat/>
    <w:rsid w:val="00CC2AEE"/>
    <w:pPr>
      <w:widowControl w:val="0"/>
      <w:numPr>
        <w:ilvl w:val="2"/>
        <w:numId w:val="1"/>
      </w:numPr>
      <w:tabs>
        <w:tab w:val="left" w:pos="1020"/>
        <w:tab w:val="left" w:pos="1021"/>
      </w:tabs>
      <w:autoSpaceDE w:val="0"/>
      <w:autoSpaceDN w:val="0"/>
    </w:pPr>
    <w:rPr>
      <w:rFonts w:eastAsia="Arial" w:cs="Arial"/>
      <w:szCs w:val="22"/>
      <w:lang w:eastAsia="en-US" w:bidi="en-US"/>
    </w:rPr>
  </w:style>
  <w:style w:type="paragraph" w:customStyle="1" w:styleId="TableParagraph">
    <w:name w:val="Table Paragraph"/>
    <w:basedOn w:val="Normal"/>
    <w:uiPriority w:val="1"/>
    <w:qFormat/>
    <w:pPr>
      <w:widowControl w:val="0"/>
      <w:autoSpaceDE w:val="0"/>
      <w:autoSpaceDN w:val="0"/>
    </w:pPr>
    <w:rPr>
      <w:rFonts w:ascii="Calibri" w:eastAsia="Calibri" w:hAnsi="Calibri" w:cs="Calibri"/>
      <w:szCs w:val="22"/>
      <w:lang w:eastAsia="en-US" w:bidi="en-US"/>
    </w:rPr>
  </w:style>
  <w:style w:type="table" w:styleId="TableGrid">
    <w:name w:val="Table Grid"/>
    <w:basedOn w:val="TableNormal"/>
    <w:qFormat/>
    <w:rsid w:val="0080502E"/>
    <w:rPr>
      <w:rFonts w:ascii="Calibri" w:eastAsia="MS Mincho" w:hAnsi="Calibri" w:cs="Vrinda"/>
      <w:sz w:val="24"/>
      <w:szCs w:val="24"/>
      <w:lang w:val="en-GB" w:bidi="as-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80502E"/>
    <w:pPr>
      <w:spacing w:before="100" w:beforeAutospacing="1" w:after="100" w:afterAutospacing="1"/>
    </w:pPr>
  </w:style>
  <w:style w:type="paragraph" w:styleId="Header">
    <w:name w:val="header"/>
    <w:basedOn w:val="Normal"/>
    <w:link w:val="HeaderChar"/>
    <w:uiPriority w:val="99"/>
    <w:unhideWhenUsed/>
    <w:rsid w:val="006F5C17"/>
    <w:pPr>
      <w:widowControl w:val="0"/>
      <w:tabs>
        <w:tab w:val="center" w:pos="4513"/>
        <w:tab w:val="right" w:pos="9026"/>
      </w:tabs>
      <w:autoSpaceDE w:val="0"/>
      <w:autoSpaceDN w:val="0"/>
    </w:pPr>
    <w:rPr>
      <w:rFonts w:eastAsia="Arial" w:cs="Arial"/>
      <w:szCs w:val="22"/>
      <w:lang w:eastAsia="en-US" w:bidi="en-US"/>
    </w:rPr>
  </w:style>
  <w:style w:type="character" w:customStyle="1" w:styleId="HeaderChar">
    <w:name w:val="Header Char"/>
    <w:basedOn w:val="DefaultParagraphFont"/>
    <w:link w:val="Header"/>
    <w:uiPriority w:val="99"/>
    <w:rsid w:val="006F5C17"/>
    <w:rPr>
      <w:rFonts w:ascii="Open Sans" w:eastAsia="Arial" w:hAnsi="Open Sans" w:cs="Arial"/>
      <w:sz w:val="18"/>
      <w:lang w:bidi="en-US"/>
    </w:rPr>
  </w:style>
  <w:style w:type="paragraph" w:styleId="Footer">
    <w:name w:val="footer"/>
    <w:basedOn w:val="Normal"/>
    <w:link w:val="FooterChar"/>
    <w:uiPriority w:val="99"/>
    <w:unhideWhenUsed/>
    <w:rsid w:val="006F5C17"/>
    <w:pPr>
      <w:widowControl w:val="0"/>
      <w:tabs>
        <w:tab w:val="center" w:pos="4513"/>
        <w:tab w:val="right" w:pos="9026"/>
      </w:tabs>
      <w:autoSpaceDE w:val="0"/>
      <w:autoSpaceDN w:val="0"/>
    </w:pPr>
    <w:rPr>
      <w:rFonts w:eastAsia="Arial" w:cs="Arial"/>
      <w:szCs w:val="22"/>
      <w:lang w:eastAsia="en-US" w:bidi="en-US"/>
    </w:rPr>
  </w:style>
  <w:style w:type="character" w:customStyle="1" w:styleId="FooterChar">
    <w:name w:val="Footer Char"/>
    <w:basedOn w:val="DefaultParagraphFont"/>
    <w:link w:val="Footer"/>
    <w:uiPriority w:val="99"/>
    <w:rsid w:val="006F5C17"/>
    <w:rPr>
      <w:rFonts w:ascii="Open Sans" w:eastAsia="Arial" w:hAnsi="Open Sans" w:cs="Arial"/>
      <w:sz w:val="18"/>
      <w:lang w:bidi="en-US"/>
    </w:rPr>
  </w:style>
  <w:style w:type="character" w:styleId="PageNumber">
    <w:name w:val="page number"/>
    <w:basedOn w:val="DefaultParagraphFont"/>
    <w:uiPriority w:val="99"/>
    <w:semiHidden/>
    <w:unhideWhenUsed/>
    <w:rsid w:val="00095D2C"/>
  </w:style>
  <w:style w:type="character" w:styleId="Strong">
    <w:name w:val="Strong"/>
    <w:basedOn w:val="DefaultParagraphFont"/>
    <w:uiPriority w:val="22"/>
    <w:qFormat/>
    <w:rsid w:val="004D41A6"/>
    <w:rPr>
      <w:rFonts w:ascii="Open Sans" w:hAnsi="Open Sans"/>
      <w:b/>
      <w:bCs/>
      <w:sz w:val="24"/>
      <w:szCs w:val="32"/>
    </w:rPr>
  </w:style>
  <w:style w:type="paragraph" w:customStyle="1" w:styleId="AppTitle">
    <w:name w:val="App Title"/>
    <w:basedOn w:val="Normal"/>
    <w:next w:val="Normal"/>
    <w:qFormat/>
    <w:rsid w:val="00756E67"/>
    <w:pPr>
      <w:widowControl w:val="0"/>
      <w:autoSpaceDE w:val="0"/>
      <w:autoSpaceDN w:val="0"/>
      <w:spacing w:before="120" w:after="240"/>
    </w:pPr>
    <w:rPr>
      <w:rFonts w:eastAsia="Arial" w:cs="Arial"/>
      <w:b/>
      <w:sz w:val="24"/>
      <w:szCs w:val="24"/>
      <w:lang w:eastAsia="en-US" w:bidi="en-US"/>
    </w:rPr>
  </w:style>
  <w:style w:type="character" w:styleId="SubtleEmphasis">
    <w:name w:val="Subtle Emphasis"/>
    <w:basedOn w:val="DefaultParagraphFont"/>
    <w:uiPriority w:val="19"/>
    <w:qFormat/>
    <w:rsid w:val="004D41A6"/>
    <w:rPr>
      <w:i/>
      <w:iCs/>
      <w:color w:val="404040" w:themeColor="text1" w:themeTint="BF"/>
    </w:rPr>
  </w:style>
  <w:style w:type="character" w:customStyle="1" w:styleId="ListParagraphChar">
    <w:name w:val="List Paragraph Char"/>
    <w:basedOn w:val="DefaultParagraphFont"/>
    <w:link w:val="ListParagraph"/>
    <w:uiPriority w:val="34"/>
    <w:rsid w:val="00CC2AEE"/>
    <w:rPr>
      <w:rFonts w:ascii="Open Sans" w:eastAsia="Arial" w:hAnsi="Open Sans" w:cs="Arial"/>
      <w:sz w:val="18"/>
      <w:lang w:bidi="en-US"/>
    </w:rPr>
  </w:style>
  <w:style w:type="table" w:customStyle="1" w:styleId="PlainTable42">
    <w:name w:val="Plain Table 42"/>
    <w:basedOn w:val="TableNormal"/>
    <w:uiPriority w:val="44"/>
    <w:rsid w:val="00200CDE"/>
    <w:rPr>
      <w:rFonts w:ascii="Calibri" w:eastAsia="MS Mincho" w:hAnsi="Calibri" w:cs="Vrinda"/>
      <w:sz w:val="24"/>
      <w:szCs w:val="24"/>
      <w:lang w:val="en-GB" w:bidi="as-IN"/>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BalloonText">
    <w:name w:val="Balloon Text"/>
    <w:basedOn w:val="Normal"/>
    <w:link w:val="BalloonTextChar"/>
    <w:uiPriority w:val="99"/>
    <w:semiHidden/>
    <w:unhideWhenUsed/>
    <w:rsid w:val="00463C95"/>
    <w:pPr>
      <w:widowControl w:val="0"/>
      <w:autoSpaceDE w:val="0"/>
      <w:autoSpaceDN w:val="0"/>
    </w:pPr>
    <w:rPr>
      <w:rFonts w:eastAsia="Arial"/>
      <w:lang w:eastAsia="en-US" w:bidi="en-US"/>
    </w:rPr>
  </w:style>
  <w:style w:type="character" w:customStyle="1" w:styleId="BalloonTextChar">
    <w:name w:val="Balloon Text Char"/>
    <w:basedOn w:val="DefaultParagraphFont"/>
    <w:link w:val="BalloonText"/>
    <w:uiPriority w:val="99"/>
    <w:semiHidden/>
    <w:rsid w:val="00463C95"/>
    <w:rPr>
      <w:rFonts w:ascii="Times New Roman" w:eastAsia="Arial" w:hAnsi="Times New Roman" w:cs="Times New Roman"/>
      <w:sz w:val="18"/>
      <w:szCs w:val="18"/>
      <w:lang w:bidi="en-US"/>
    </w:rPr>
  </w:style>
  <w:style w:type="paragraph" w:customStyle="1" w:styleId="Appendix">
    <w:name w:val="Appendix"/>
    <w:basedOn w:val="Normal"/>
    <w:next w:val="Normal"/>
    <w:qFormat/>
    <w:rsid w:val="00525FBB"/>
    <w:pPr>
      <w:widowControl w:val="0"/>
      <w:numPr>
        <w:numId w:val="2"/>
      </w:numPr>
      <w:autoSpaceDE w:val="0"/>
      <w:autoSpaceDN w:val="0"/>
      <w:ind w:left="0"/>
      <w:jc w:val="right"/>
    </w:pPr>
    <w:rPr>
      <w:rFonts w:eastAsia="Arial" w:cs="Arial"/>
      <w:color w:val="F24F00"/>
      <w:sz w:val="28"/>
      <w:szCs w:val="28"/>
      <w:lang w:eastAsia="en-US" w:bidi="en-US"/>
    </w:rPr>
  </w:style>
  <w:style w:type="character" w:styleId="CommentReference">
    <w:name w:val="annotation reference"/>
    <w:basedOn w:val="DefaultParagraphFont"/>
    <w:uiPriority w:val="99"/>
    <w:semiHidden/>
    <w:unhideWhenUsed/>
    <w:rsid w:val="004743D7"/>
    <w:rPr>
      <w:sz w:val="16"/>
      <w:szCs w:val="16"/>
    </w:rPr>
  </w:style>
  <w:style w:type="paragraph" w:styleId="CommentText">
    <w:name w:val="annotation text"/>
    <w:basedOn w:val="Normal"/>
    <w:link w:val="CommentTextChar"/>
    <w:uiPriority w:val="99"/>
    <w:semiHidden/>
    <w:unhideWhenUsed/>
    <w:rsid w:val="004743D7"/>
    <w:pPr>
      <w:widowControl w:val="0"/>
      <w:autoSpaceDE w:val="0"/>
      <w:autoSpaceDN w:val="0"/>
    </w:pPr>
    <w:rPr>
      <w:rFonts w:eastAsia="Arial" w:cs="Arial"/>
      <w:sz w:val="20"/>
      <w:szCs w:val="20"/>
      <w:lang w:eastAsia="en-US" w:bidi="en-US"/>
    </w:rPr>
  </w:style>
  <w:style w:type="character" w:customStyle="1" w:styleId="CommentTextChar">
    <w:name w:val="Comment Text Char"/>
    <w:basedOn w:val="DefaultParagraphFont"/>
    <w:link w:val="CommentText"/>
    <w:uiPriority w:val="99"/>
    <w:semiHidden/>
    <w:rsid w:val="004743D7"/>
    <w:rPr>
      <w:rFonts w:ascii="Open Sans" w:eastAsia="Arial" w:hAnsi="Open Sans" w:cs="Arial"/>
      <w:sz w:val="20"/>
      <w:szCs w:val="20"/>
      <w:lang w:bidi="en-US"/>
    </w:rPr>
  </w:style>
  <w:style w:type="paragraph" w:styleId="CommentSubject">
    <w:name w:val="annotation subject"/>
    <w:basedOn w:val="CommentText"/>
    <w:next w:val="CommentText"/>
    <w:link w:val="CommentSubjectChar"/>
    <w:uiPriority w:val="99"/>
    <w:semiHidden/>
    <w:unhideWhenUsed/>
    <w:rsid w:val="004743D7"/>
    <w:rPr>
      <w:b/>
      <w:bCs/>
    </w:rPr>
  </w:style>
  <w:style w:type="character" w:customStyle="1" w:styleId="CommentSubjectChar">
    <w:name w:val="Comment Subject Char"/>
    <w:basedOn w:val="CommentTextChar"/>
    <w:link w:val="CommentSubject"/>
    <w:uiPriority w:val="99"/>
    <w:semiHidden/>
    <w:rsid w:val="004743D7"/>
    <w:rPr>
      <w:rFonts w:ascii="Open Sans" w:eastAsia="Arial" w:hAnsi="Open Sans" w:cs="Arial"/>
      <w:b/>
      <w:bCs/>
      <w:sz w:val="20"/>
      <w:szCs w:val="20"/>
      <w:lang w:bidi="en-US"/>
    </w:rPr>
  </w:style>
  <w:style w:type="character" w:styleId="Hyperlink">
    <w:name w:val="Hyperlink"/>
    <w:basedOn w:val="DefaultParagraphFont"/>
    <w:uiPriority w:val="99"/>
    <w:unhideWhenUsed/>
    <w:rsid w:val="00C71373"/>
    <w:rPr>
      <w:color w:val="0563C1"/>
      <w:u w:val="single"/>
    </w:rPr>
  </w:style>
  <w:style w:type="character" w:styleId="FollowedHyperlink">
    <w:name w:val="FollowedHyperlink"/>
    <w:basedOn w:val="DefaultParagraphFont"/>
    <w:uiPriority w:val="99"/>
    <w:semiHidden/>
    <w:unhideWhenUsed/>
    <w:rsid w:val="00C71373"/>
    <w:rPr>
      <w:color w:val="800080" w:themeColor="followedHyperlink"/>
      <w:u w:val="single"/>
    </w:rPr>
  </w:style>
  <w:style w:type="character" w:customStyle="1" w:styleId="UnresolvedMention1">
    <w:name w:val="Unresolved Mention1"/>
    <w:basedOn w:val="DefaultParagraphFont"/>
    <w:uiPriority w:val="99"/>
    <w:semiHidden/>
    <w:unhideWhenUsed/>
    <w:rsid w:val="00F566D8"/>
    <w:rPr>
      <w:color w:val="605E5C"/>
      <w:shd w:val="clear" w:color="auto" w:fill="E1DFDD"/>
    </w:rPr>
  </w:style>
  <w:style w:type="paragraph" w:customStyle="1" w:styleId="Bullet">
    <w:name w:val="Bullet"/>
    <w:basedOn w:val="NormalIndent"/>
    <w:link w:val="BulletZchn"/>
    <w:qFormat/>
    <w:rsid w:val="00823FD8"/>
    <w:pPr>
      <w:widowControl/>
      <w:numPr>
        <w:numId w:val="3"/>
      </w:numPr>
      <w:autoSpaceDE/>
      <w:autoSpaceDN/>
      <w:spacing w:before="120"/>
    </w:pPr>
    <w:rPr>
      <w:rFonts w:eastAsia="Open Sans" w:cstheme="minorBidi"/>
      <w:color w:val="262626" w:themeColor="text1" w:themeTint="D9"/>
      <w:lang w:bidi="ar-SA"/>
    </w:rPr>
  </w:style>
  <w:style w:type="character" w:customStyle="1" w:styleId="BulletZchn">
    <w:name w:val="Bullet Zchn"/>
    <w:basedOn w:val="DefaultParagraphFont"/>
    <w:link w:val="Bullet"/>
    <w:rsid w:val="00823FD8"/>
    <w:rPr>
      <w:rFonts w:ascii="Open Sans" w:eastAsia="Open Sans" w:hAnsi="Open Sans"/>
      <w:color w:val="262626" w:themeColor="text1" w:themeTint="D9"/>
      <w:sz w:val="18"/>
    </w:rPr>
  </w:style>
  <w:style w:type="paragraph" w:styleId="NormalIndent">
    <w:name w:val="Normal Indent"/>
    <w:basedOn w:val="Normal"/>
    <w:uiPriority w:val="99"/>
    <w:semiHidden/>
    <w:unhideWhenUsed/>
    <w:rsid w:val="00E46C9B"/>
    <w:pPr>
      <w:widowControl w:val="0"/>
      <w:autoSpaceDE w:val="0"/>
      <w:autoSpaceDN w:val="0"/>
      <w:ind w:left="720"/>
    </w:pPr>
    <w:rPr>
      <w:rFonts w:eastAsia="Arial" w:cs="Arial"/>
      <w:szCs w:val="22"/>
      <w:lang w:eastAsia="en-US" w:bidi="en-US"/>
    </w:rPr>
  </w:style>
  <w:style w:type="paragraph" w:styleId="Revision">
    <w:name w:val="Revision"/>
    <w:hidden/>
    <w:uiPriority w:val="99"/>
    <w:semiHidden/>
    <w:rsid w:val="00757992"/>
    <w:rPr>
      <w:rFonts w:eastAsia="Arial" w:cs="Arial"/>
      <w:lang w:bidi="en-US"/>
    </w:rPr>
  </w:style>
  <w:style w:type="paragraph" w:customStyle="1" w:styleId="Text">
    <w:name w:val="_Text"/>
    <w:basedOn w:val="Normal"/>
    <w:qFormat/>
    <w:rsid w:val="004E3601"/>
    <w:pPr>
      <w:tabs>
        <w:tab w:val="num" w:pos="720"/>
      </w:tabs>
      <w:spacing w:line="276" w:lineRule="auto"/>
      <w:ind w:left="720" w:hanging="720"/>
    </w:pPr>
    <w:rPr>
      <w:rFonts w:ascii="Arial" w:eastAsia="PMingLiU" w:hAnsi="Arial" w:cs="Arial"/>
      <w:sz w:val="22"/>
    </w:rPr>
  </w:style>
  <w:style w:type="paragraph" w:styleId="ListBullet">
    <w:name w:val="List Bullet"/>
    <w:basedOn w:val="Normal"/>
    <w:uiPriority w:val="99"/>
    <w:unhideWhenUsed/>
    <w:rsid w:val="004E3601"/>
    <w:pPr>
      <w:tabs>
        <w:tab w:val="num" w:pos="720"/>
      </w:tabs>
      <w:spacing w:line="276" w:lineRule="auto"/>
      <w:ind w:left="720" w:hanging="720"/>
      <w:contextualSpacing/>
    </w:pPr>
    <w:rPr>
      <w:sz w:val="22"/>
      <w:lang w:val="en-GB"/>
    </w:rPr>
  </w:style>
  <w:style w:type="paragraph" w:styleId="EndnoteText">
    <w:name w:val="endnote text"/>
    <w:basedOn w:val="Normal"/>
    <w:link w:val="EndnoteTextChar"/>
    <w:uiPriority w:val="99"/>
    <w:semiHidden/>
    <w:unhideWhenUsed/>
    <w:rsid w:val="001F6845"/>
    <w:pPr>
      <w:widowControl w:val="0"/>
      <w:autoSpaceDE w:val="0"/>
      <w:autoSpaceDN w:val="0"/>
    </w:pPr>
    <w:rPr>
      <w:rFonts w:eastAsia="Arial" w:cs="Arial"/>
      <w:sz w:val="20"/>
      <w:szCs w:val="20"/>
      <w:lang w:eastAsia="en-US" w:bidi="en-US"/>
    </w:rPr>
  </w:style>
  <w:style w:type="character" w:customStyle="1" w:styleId="EndnoteTextChar">
    <w:name w:val="Endnote Text Char"/>
    <w:basedOn w:val="DefaultParagraphFont"/>
    <w:link w:val="EndnoteText"/>
    <w:uiPriority w:val="99"/>
    <w:semiHidden/>
    <w:rsid w:val="001F6845"/>
    <w:rPr>
      <w:rFonts w:ascii="Open Sans" w:eastAsia="Arial" w:hAnsi="Open Sans" w:cs="Arial"/>
      <w:sz w:val="20"/>
      <w:szCs w:val="20"/>
      <w:lang w:bidi="en-US"/>
    </w:rPr>
  </w:style>
  <w:style w:type="character" w:styleId="EndnoteReference">
    <w:name w:val="endnote reference"/>
    <w:basedOn w:val="DefaultParagraphFont"/>
    <w:uiPriority w:val="99"/>
    <w:semiHidden/>
    <w:unhideWhenUsed/>
    <w:rsid w:val="001F6845"/>
    <w:rPr>
      <w:vertAlign w:val="superscript"/>
    </w:rPr>
  </w:style>
  <w:style w:type="character" w:customStyle="1" w:styleId="apple-converted-space">
    <w:name w:val="apple-converted-space"/>
    <w:basedOn w:val="DefaultParagraphFont"/>
    <w:rsid w:val="007D4810"/>
  </w:style>
  <w:style w:type="paragraph" w:customStyle="1" w:styleId="Ebene1">
    <w:name w:val="_Ebene1"/>
    <w:basedOn w:val="Normal"/>
    <w:qFormat/>
    <w:rsid w:val="00DC2356"/>
    <w:pPr>
      <w:tabs>
        <w:tab w:val="num" w:pos="720"/>
      </w:tabs>
      <w:ind w:left="720" w:hanging="720"/>
    </w:pPr>
    <w:rPr>
      <w:rFonts w:eastAsia="PMingLiU"/>
      <w:b/>
      <w:lang w:val="en-GB"/>
    </w:rPr>
  </w:style>
  <w:style w:type="paragraph" w:customStyle="1" w:styleId="2">
    <w:name w:val="Ü2"/>
    <w:basedOn w:val="ListParagraph"/>
    <w:qFormat/>
    <w:rsid w:val="00D464C3"/>
    <w:pPr>
      <w:widowControl/>
      <w:numPr>
        <w:ilvl w:val="1"/>
        <w:numId w:val="4"/>
      </w:numPr>
      <w:tabs>
        <w:tab w:val="clear" w:pos="1020"/>
        <w:tab w:val="clear" w:pos="1021"/>
      </w:tabs>
      <w:autoSpaceDE/>
      <w:autoSpaceDN/>
      <w:spacing w:line="276" w:lineRule="auto"/>
    </w:pPr>
    <w:rPr>
      <w:rFonts w:eastAsiaTheme="minorHAnsi" w:cstheme="minorBidi"/>
      <w:color w:val="595959" w:themeColor="text1" w:themeTint="A6"/>
      <w:sz w:val="20"/>
      <w:lang w:val="de-DE" w:bidi="ar-SA"/>
    </w:rPr>
  </w:style>
  <w:style w:type="paragraph" w:customStyle="1" w:styleId="3">
    <w:name w:val="Ü3"/>
    <w:basedOn w:val="ListParagraph"/>
    <w:qFormat/>
    <w:rsid w:val="00D464C3"/>
    <w:pPr>
      <w:widowControl/>
      <w:numPr>
        <w:numId w:val="4"/>
      </w:numPr>
      <w:tabs>
        <w:tab w:val="clear" w:pos="1020"/>
        <w:tab w:val="clear" w:pos="1021"/>
      </w:tabs>
      <w:autoSpaceDE/>
      <w:autoSpaceDN/>
      <w:spacing w:before="120" w:after="160" w:line="276" w:lineRule="auto"/>
    </w:pPr>
    <w:rPr>
      <w:rFonts w:eastAsiaTheme="minorHAnsi" w:cstheme="minorBidi"/>
      <w:color w:val="595959" w:themeColor="text1" w:themeTint="A6"/>
      <w:sz w:val="20"/>
      <w:lang w:val="de-DE" w:bidi="ar-SA"/>
    </w:rPr>
  </w:style>
  <w:style w:type="paragraph" w:customStyle="1" w:styleId="1">
    <w:name w:val="Ü1"/>
    <w:basedOn w:val="ListParagraph"/>
    <w:qFormat/>
    <w:rsid w:val="00D464C3"/>
    <w:pPr>
      <w:keepNext/>
      <w:widowControl/>
      <w:numPr>
        <w:ilvl w:val="0"/>
        <w:numId w:val="0"/>
      </w:numPr>
      <w:tabs>
        <w:tab w:val="clear" w:pos="1020"/>
        <w:tab w:val="clear" w:pos="1021"/>
        <w:tab w:val="num" w:pos="720"/>
      </w:tabs>
      <w:autoSpaceDE/>
      <w:autoSpaceDN/>
      <w:spacing w:before="240" w:line="276" w:lineRule="auto"/>
      <w:ind w:left="431" w:hanging="431"/>
      <w:contextualSpacing/>
    </w:pPr>
    <w:rPr>
      <w:rFonts w:ascii="Century Gothic" w:eastAsiaTheme="minorHAnsi" w:hAnsi="Century Gothic" w:cstheme="minorBidi"/>
      <w:b/>
      <w:color w:val="F24F00"/>
      <w:sz w:val="24"/>
      <w:lang w:val="de-DE" w:bidi="ar-SA"/>
    </w:rPr>
  </w:style>
  <w:style w:type="character" w:customStyle="1" w:styleId="Heading2Char">
    <w:name w:val="Heading 2 Char"/>
    <w:basedOn w:val="DefaultParagraphFont"/>
    <w:link w:val="Heading2"/>
    <w:uiPriority w:val="9"/>
    <w:rsid w:val="004C40BC"/>
    <w:rPr>
      <w:rFonts w:ascii="Open Sans" w:eastAsia="Times New Roman" w:hAnsi="Open Sans" w:cs="Open Sans"/>
      <w:sz w:val="18"/>
      <w:szCs w:val="18"/>
      <w:lang w:eastAsia="en-GB"/>
    </w:rPr>
  </w:style>
  <w:style w:type="character" w:styleId="UnresolvedMention">
    <w:name w:val="Unresolved Mention"/>
    <w:basedOn w:val="DefaultParagraphFont"/>
    <w:uiPriority w:val="99"/>
    <w:semiHidden/>
    <w:unhideWhenUsed/>
    <w:rsid w:val="007906CB"/>
    <w:rPr>
      <w:color w:val="605E5C"/>
      <w:shd w:val="clear" w:color="auto" w:fill="E1DFDD"/>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rPr>
      <w:rFonts w:ascii="Calibri" w:eastAsia="Calibri" w:hAnsi="Calibri" w:cs="Calibri"/>
      <w:sz w:val="24"/>
      <w:szCs w:val="24"/>
    </w:rPr>
    <w:tblPr>
      <w:tblStyleRowBandSize w:val="1"/>
      <w:tblStyleColBandSize w:val="1"/>
    </w:tblPr>
  </w:style>
  <w:style w:type="table" w:customStyle="1" w:styleId="a0">
    <w:basedOn w:val="TableNormal"/>
    <w:rPr>
      <w:rFonts w:ascii="Calibri" w:eastAsia="Calibri" w:hAnsi="Calibri" w:cs="Calibri"/>
      <w:sz w:val="24"/>
      <w:szCs w:val="24"/>
    </w:rPr>
    <w:tblPr>
      <w:tblStyleRowBandSize w:val="1"/>
      <w:tblStyleColBandSize w:val="1"/>
    </w:tblPr>
  </w:style>
  <w:style w:type="table" w:customStyle="1" w:styleId="a1">
    <w:basedOn w:val="TableNormal"/>
    <w:tblPr>
      <w:tblStyleRowBandSize w:val="1"/>
      <w:tblStyleColBandSize w:val="1"/>
      <w:tblCellMar>
        <w:left w:w="115" w:type="dxa"/>
        <w:right w:w="115" w:type="dxa"/>
      </w:tblCellMar>
    </w:tblPr>
  </w:style>
  <w:style w:type="table" w:customStyle="1" w:styleId="a2">
    <w:basedOn w:val="TableNormal"/>
    <w:rPr>
      <w:rFonts w:ascii="Calibri" w:eastAsia="Calibri" w:hAnsi="Calibri" w:cs="Calibri"/>
      <w:sz w:val="24"/>
      <w:szCs w:val="24"/>
    </w:rPr>
    <w:tblPr>
      <w:tblStyleRowBandSize w:val="1"/>
      <w:tblStyleColBandSize w:val="1"/>
      <w:tblCellMar>
        <w:left w:w="115" w:type="dxa"/>
        <w:right w:w="115" w:type="dxa"/>
      </w:tblCellMar>
    </w:tblPr>
  </w:style>
  <w:style w:type="table" w:customStyle="1" w:styleId="a3">
    <w:basedOn w:val="TableNormal"/>
    <w:rPr>
      <w:rFonts w:ascii="Calibri" w:eastAsia="Calibri" w:hAnsi="Calibri" w:cs="Calibri"/>
      <w:sz w:val="24"/>
      <w:szCs w:val="24"/>
    </w:rPr>
    <w:tblPr>
      <w:tblStyleRowBandSize w:val="1"/>
      <w:tblStyleColBandSize w:val="1"/>
      <w:tblCellMar>
        <w:left w:w="115" w:type="dxa"/>
        <w:right w:w="115" w:type="dxa"/>
      </w:tblCellMar>
    </w:tblPr>
  </w:style>
  <w:style w:type="table" w:customStyle="1" w:styleId="a4">
    <w:basedOn w:val="TableNormal"/>
    <w:rPr>
      <w:rFonts w:ascii="Calibri" w:eastAsia="Calibri" w:hAnsi="Calibri" w:cs="Calibri"/>
      <w:sz w:val="24"/>
      <w:szCs w:val="24"/>
    </w:rPr>
    <w:tblPr>
      <w:tblStyleRowBandSize w:val="1"/>
      <w:tblStyleColBandSize w:val="1"/>
      <w:tblCellMar>
        <w:left w:w="115" w:type="dxa"/>
        <w:right w:w="115" w:type="dxa"/>
      </w:tblCellMar>
    </w:tblPr>
  </w:style>
  <w:style w:type="table" w:customStyle="1" w:styleId="a5">
    <w:basedOn w:val="TableNormal"/>
    <w:rPr>
      <w:rFonts w:ascii="Calibri" w:eastAsia="Calibri" w:hAnsi="Calibri" w:cs="Calibri"/>
      <w:sz w:val="24"/>
      <w:szCs w:val="24"/>
    </w:rPr>
    <w:tblPr>
      <w:tblStyleRowBandSize w:val="1"/>
      <w:tblStyleColBandSize w:val="1"/>
      <w:tblCellMar>
        <w:left w:w="0" w:type="dxa"/>
        <w:right w:w="0" w:type="dxa"/>
      </w:tblCellMar>
    </w:tblPr>
  </w:style>
  <w:style w:type="table" w:customStyle="1" w:styleId="a6">
    <w:basedOn w:val="TableNormal"/>
    <w:rPr>
      <w:rFonts w:ascii="Calibri" w:eastAsia="Calibri" w:hAnsi="Calibri" w:cs="Calibri"/>
      <w:sz w:val="24"/>
      <w:szCs w:val="24"/>
    </w:rPr>
    <w:tblPr>
      <w:tblStyleRowBandSize w:val="1"/>
      <w:tblStyleColBandSize w:val="1"/>
      <w:tblCellMar>
        <w:left w:w="0" w:type="dxa"/>
        <w:right w:w="0" w:type="dxa"/>
      </w:tblCellMar>
    </w:tblPr>
  </w:style>
  <w:style w:type="table" w:customStyle="1" w:styleId="a7">
    <w:basedOn w:val="TableNormal"/>
    <w:rPr>
      <w:rFonts w:ascii="Calibri" w:eastAsia="Calibri" w:hAnsi="Calibri" w:cs="Calibri"/>
      <w:sz w:val="24"/>
      <w:szCs w:val="24"/>
    </w:rPr>
    <w:tblPr>
      <w:tblStyleRowBandSize w:val="1"/>
      <w:tblStyleColBandSize w:val="1"/>
      <w:tblCellMar>
        <w:left w:w="0" w:type="dxa"/>
        <w:right w:w="0" w:type="dxa"/>
      </w:tblCellMar>
    </w:tblPr>
  </w:style>
  <w:style w:type="table" w:customStyle="1" w:styleId="a8">
    <w:basedOn w:val="TableNormal"/>
    <w:tblPr>
      <w:tblStyleRowBandSize w:val="1"/>
      <w:tblStyleColBandSize w:val="1"/>
      <w:tblCellMar>
        <w:left w:w="115" w:type="dxa"/>
        <w:right w:w="115" w:type="dxa"/>
      </w:tblCellMar>
    </w:tblPr>
  </w:style>
  <w:style w:type="table" w:customStyle="1" w:styleId="a9">
    <w:basedOn w:val="TableNormal"/>
    <w:rPr>
      <w:rFonts w:ascii="Calibri" w:eastAsia="Calibri" w:hAnsi="Calibri" w:cs="Calibri"/>
      <w:sz w:val="24"/>
      <w:szCs w:val="24"/>
    </w:rPr>
    <w:tblPr>
      <w:tblStyleRowBandSize w:val="1"/>
      <w:tblStyleColBandSize w:val="1"/>
      <w:tblCellMar>
        <w:left w:w="0" w:type="dxa"/>
        <w:right w:w="0" w:type="dxa"/>
      </w:tblCellMar>
    </w:tblPr>
  </w:style>
  <w:style w:type="table" w:customStyle="1" w:styleId="aa">
    <w:basedOn w:val="TableNormal"/>
    <w:rPr>
      <w:rFonts w:ascii="Calibri" w:eastAsia="Calibri" w:hAnsi="Calibri" w:cs="Calibri"/>
      <w:sz w:val="24"/>
      <w:szCs w:val="24"/>
    </w:rPr>
    <w:tblPr>
      <w:tblStyleRowBandSize w:val="1"/>
      <w:tblStyleColBandSize w:val="1"/>
      <w:tblCellMar>
        <w:left w:w="0" w:type="dxa"/>
        <w:right w:w="0" w:type="dxa"/>
      </w:tblCellMar>
    </w:tblPr>
  </w:style>
  <w:style w:type="table" w:customStyle="1" w:styleId="ab">
    <w:basedOn w:val="TableNormal"/>
    <w:rPr>
      <w:rFonts w:ascii="Calibri" w:eastAsia="Calibri" w:hAnsi="Calibri" w:cs="Calibri"/>
      <w:sz w:val="24"/>
      <w:szCs w:val="24"/>
    </w:rPr>
    <w:tblPr>
      <w:tblStyleRowBandSize w:val="1"/>
      <w:tblStyleColBandSize w:val="1"/>
      <w:tblCellMar>
        <w:left w:w="0" w:type="dxa"/>
        <w:right w:w="0" w:type="dxa"/>
      </w:tblCellMar>
    </w:tblPr>
  </w:style>
  <w:style w:type="table" w:customStyle="1" w:styleId="ac">
    <w:basedOn w:val="TableNormal"/>
    <w:tblPr>
      <w:tblStyleRowBandSize w:val="1"/>
      <w:tblStyleColBandSize w:val="1"/>
      <w:tblCellMar>
        <w:top w:w="100" w:type="dxa"/>
        <w:left w:w="100" w:type="dxa"/>
        <w:bottom w:w="100" w:type="dxa"/>
        <w:right w:w="100" w:type="dxa"/>
      </w:tblCellMar>
    </w:tblPr>
  </w:style>
  <w:style w:type="table" w:customStyle="1" w:styleId="ad">
    <w:basedOn w:val="TableNormal"/>
    <w:rPr>
      <w:rFonts w:ascii="Calibri" w:eastAsia="Calibri" w:hAnsi="Calibri" w:cs="Calibri"/>
      <w:sz w:val="24"/>
      <w:szCs w:val="24"/>
    </w:rPr>
    <w:tblPr>
      <w:tblStyleRowBandSize w:val="1"/>
      <w:tblStyleColBandSize w:val="1"/>
      <w:tblCellMar>
        <w:left w:w="0" w:type="dxa"/>
        <w:right w:w="0" w:type="dxa"/>
      </w:tblCellMar>
    </w:tblPr>
  </w:style>
  <w:style w:type="table" w:customStyle="1" w:styleId="ae">
    <w:basedOn w:val="TableNormal"/>
    <w:rPr>
      <w:rFonts w:ascii="Calibri" w:eastAsia="Calibri" w:hAnsi="Calibri" w:cs="Calibri"/>
      <w:sz w:val="24"/>
      <w:szCs w:val="24"/>
    </w:rPr>
    <w:tblPr>
      <w:tblStyleRowBandSize w:val="1"/>
      <w:tblStyleColBandSize w:val="1"/>
      <w:tblCellMar>
        <w:top w:w="100" w:type="dxa"/>
        <w:left w:w="0" w:type="dxa"/>
        <w:bottom w:w="100" w:type="dxa"/>
        <w:right w:w="0" w:type="dxa"/>
      </w:tblCellMar>
    </w:tblPr>
  </w:style>
  <w:style w:type="table" w:customStyle="1" w:styleId="af">
    <w:basedOn w:val="TableNormal"/>
    <w:rPr>
      <w:rFonts w:ascii="Calibri" w:eastAsia="Calibri" w:hAnsi="Calibri" w:cs="Calibri"/>
      <w:sz w:val="24"/>
      <w:szCs w:val="24"/>
    </w:rPr>
    <w:tblPr>
      <w:tblStyleRowBandSize w:val="1"/>
      <w:tblStyleColBandSize w:val="1"/>
      <w:tblCellMar>
        <w:top w:w="100" w:type="dxa"/>
        <w:left w:w="0" w:type="dxa"/>
        <w:bottom w:w="100" w:type="dxa"/>
        <w:right w:w="0" w:type="dxa"/>
      </w:tblCellMar>
    </w:tblPr>
  </w:style>
  <w:style w:type="table" w:customStyle="1" w:styleId="af0">
    <w:basedOn w:val="TableNormal"/>
    <w:rPr>
      <w:rFonts w:ascii="Calibri" w:eastAsia="Calibri" w:hAnsi="Calibri" w:cs="Calibri"/>
      <w:sz w:val="24"/>
      <w:szCs w:val="24"/>
    </w:rPr>
    <w:tblPr>
      <w:tblStyleRowBandSize w:val="1"/>
      <w:tblStyleColBandSize w:val="1"/>
      <w:tblCellMar>
        <w:top w:w="100" w:type="dxa"/>
        <w:left w:w="0" w:type="dxa"/>
        <w:bottom w:w="100" w:type="dxa"/>
        <w:right w:w="0" w:type="dxa"/>
      </w:tblCellMar>
    </w:tblPr>
  </w:style>
  <w:style w:type="table" w:customStyle="1" w:styleId="af1">
    <w:basedOn w:val="TableNormal"/>
    <w:rPr>
      <w:rFonts w:ascii="Calibri" w:eastAsia="Calibri" w:hAnsi="Calibri" w:cs="Calibri"/>
      <w:sz w:val="24"/>
      <w:szCs w:val="24"/>
    </w:rPr>
    <w:tblPr>
      <w:tblStyleRowBandSize w:val="1"/>
      <w:tblStyleColBandSize w:val="1"/>
      <w:tblCellMar>
        <w:top w:w="100" w:type="dxa"/>
        <w:left w:w="0" w:type="dxa"/>
        <w:bottom w:w="10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zrjR6UxyELt5EMI5/EH+e622aLg==">AMUW2mXkuas6qmIrnT1HM541zsFjQxmhxpZ5WWaLi4i7F/HWXOUDgiMDUCshsM3YrNXsX+1RLoX82wZPNiSd/JDn6Q0aW2/1715w3lPpWMBxwQwyEgK75k8N0/6LhLQbdXPXqyZkNJwrWffEqZX1zPAk9Kq//67UaCneqCqtbnIgsMxSVccBF5Y=</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Pages>
  <Words>1736</Words>
  <Characters>9901</Characters>
  <Application>Microsoft Office Word</Application>
  <DocSecurity>0</DocSecurity>
  <Lines>82</Lines>
  <Paragraphs>23</Paragraphs>
  <ScaleCrop>false</ScaleCrop>
  <Company/>
  <LinksUpToDate>false</LinksUpToDate>
  <CharactersWithSpaces>11614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Finck, Seth</dc:creator>
  <cp:lastModifiedBy>Marcin Lichon</cp:lastModifiedBy>
  <cp:revision>6</cp:revision>
  <dcterms:created xsi:type="dcterms:W3CDTF">2021-05-23T07:40:00Z</dcterms:created>
  <dcterms:modified xsi:type="dcterms:W3CDTF">2023-03-06T10:57:00Z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2020-04-08T00:00:00Z</vt:filetime>
  </property>
  <property fmtid="{D5CDD505-2E9C-101B-9397-08002B2CF9AE}" pid="3" name="Creator">
    <vt:lpwstr>Microsoft® Word 2010</vt:lpwstr>
  </property>
  <property fmtid="{D5CDD505-2E9C-101B-9397-08002B2CF9AE}" pid="4" name="LastSaved">
    <vt:filetime>2020-06-05T00:00:00Z</vt:filetime>
  </property>
</Properties>
</file>